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41F8C56" w14:textId="77777777" w:rsidR="00D278E0" w:rsidRPr="00D278E0" w:rsidRDefault="00D278E0" w:rsidP="007C4729">
      <w:pPr>
        <w:pStyle w:val="BodyText"/>
        <w:ind w:hanging="426"/>
      </w:pPr>
      <w:bookmarkStart w:id="1" w:name="_Hlk483397678"/>
      <w:bookmarkStart w:id="2" w:name="_GoBack"/>
      <w:bookmarkEnd w:id="2"/>
      <w:r>
        <w:rPr>
          <w:noProof/>
        </w:rPr>
        <w:drawing>
          <wp:inline distT="0" distB="0" distL="0" distR="0" wp14:anchorId="47CF7C5D" wp14:editId="7DE2C73C">
            <wp:extent cx="1844038" cy="7960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_Logo_Horizontal_Lockup_RGB_BLK.png"/>
                    <pic:cNvPicPr/>
                  </pic:nvPicPr>
                  <pic:blipFill>
                    <a:blip r:embed="rId12">
                      <a:extLst>
                        <a:ext uri="{28A0092B-C50C-407E-A947-70E740481C1C}">
                          <a14:useLocalDpi xmlns:a14="http://schemas.microsoft.com/office/drawing/2010/main" val="0"/>
                        </a:ext>
                      </a:extLst>
                    </a:blip>
                    <a:stretch>
                      <a:fillRect/>
                    </a:stretch>
                  </pic:blipFill>
                  <pic:spPr>
                    <a:xfrm>
                      <a:off x="0" y="0"/>
                      <a:ext cx="1848442" cy="79797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inline>
        </w:drawing>
      </w:r>
      <w:bookmarkEnd w:id="1"/>
    </w:p>
    <w:p w14:paraId="19577DBC" w14:textId="77777777" w:rsidR="00D278E0" w:rsidRPr="00D278E0" w:rsidRDefault="00D278E0" w:rsidP="00957C2E">
      <w:pPr>
        <w:pStyle w:val="BodyText"/>
        <w:ind w:left="-142"/>
        <w:rPr>
          <w:b/>
          <w:sz w:val="28"/>
          <w:szCs w:val="28"/>
          <w:lang w:val="en-US"/>
        </w:rPr>
      </w:pPr>
      <w:r w:rsidRPr="00D278E0">
        <w:rPr>
          <w:b/>
          <w:sz w:val="28"/>
          <w:szCs w:val="28"/>
          <w:lang w:val="en-US"/>
        </w:rPr>
        <w:t>CENTRE FOR MEDIA TRANSITION</w:t>
      </w:r>
    </w:p>
    <w:p w14:paraId="4C7F5B81" w14:textId="480044EE" w:rsidR="007D606A" w:rsidRPr="007D606A" w:rsidRDefault="00D90A7D" w:rsidP="00C7175E">
      <w:pPr>
        <w:pStyle w:val="BodyText"/>
      </w:pPr>
      <w:r w:rsidRPr="00FC2F83">
        <w:rPr>
          <w:noProof/>
        </w:rPr>
        <mc:AlternateContent>
          <mc:Choice Requires="wps">
            <w:drawing>
              <wp:anchor distT="0" distB="0" distL="114300" distR="114300" simplePos="0" relativeHeight="251655168" behindDoc="0" locked="0" layoutInCell="1" allowOverlap="1" wp14:anchorId="1C2A008A" wp14:editId="0BA815B0">
                <wp:simplePos x="0" y="0"/>
                <wp:positionH relativeFrom="column">
                  <wp:posOffset>-269252</wp:posOffset>
                </wp:positionH>
                <wp:positionV relativeFrom="paragraph">
                  <wp:posOffset>1236597</wp:posOffset>
                </wp:positionV>
                <wp:extent cx="5963285" cy="1613139"/>
                <wp:effectExtent l="0" t="0" r="0" b="63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613139"/>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ma14="http://schemas.microsoft.com/office/mac/drawingml/2011/main" xmlns:pic="http://schemas.openxmlformats.org/drawingml/2006/picture"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ma14="http://schemas.microsoft.com/office/mac/drawingml/2011/main" xmlns:pic="http://schemas.openxmlformats.org/drawingml/2006/picture"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0E1B9281" w14:textId="4088363D" w:rsidR="00D90A7D" w:rsidRDefault="00D90A7D" w:rsidP="00957C2E">
                            <w:pPr>
                              <w:pStyle w:val="UTSHeading2"/>
                              <w:rPr>
                                <w:caps w:val="0"/>
                                <w:noProof w:val="0"/>
                                <w:sz w:val="40"/>
                                <w:szCs w:val="40"/>
                              </w:rPr>
                            </w:pPr>
                            <w:r w:rsidRPr="00D90A7D">
                              <w:rPr>
                                <w:caps w:val="0"/>
                                <w:noProof w:val="0"/>
                                <w:sz w:val="40"/>
                                <w:szCs w:val="40"/>
                              </w:rPr>
                              <w:t>Regulatory approaches to misinformation and disinformation</w:t>
                            </w:r>
                            <w:r>
                              <w:rPr>
                                <w:caps w:val="0"/>
                                <w:noProof w:val="0"/>
                                <w:sz w:val="40"/>
                                <w:szCs w:val="40"/>
                              </w:rPr>
                              <w:t xml:space="preserve"> </w:t>
                            </w:r>
                            <w:r w:rsidRPr="00D90A7D">
                              <w:rPr>
                                <w:caps w:val="0"/>
                                <w:noProof w:val="0"/>
                                <w:sz w:val="40"/>
                                <w:szCs w:val="40"/>
                              </w:rPr>
                              <w:t xml:space="preserve">in the Asia–Pacific region </w:t>
                            </w:r>
                          </w:p>
                          <w:p w14:paraId="577B8DB4" w14:textId="3CF881DE" w:rsidR="003267DE" w:rsidRPr="00B41B37" w:rsidRDefault="00D90A7D" w:rsidP="00957C2E">
                            <w:pPr>
                              <w:pStyle w:val="UTSHeading2"/>
                              <w:rPr>
                                <w:caps w:val="0"/>
                                <w:noProof w:val="0"/>
                                <w:szCs w:val="40"/>
                              </w:rPr>
                            </w:pPr>
                            <w:r>
                              <w:rPr>
                                <w:caps w:val="0"/>
                                <w:noProof w:val="0"/>
                                <w:szCs w:val="40"/>
                              </w:rPr>
                              <w:t>Background</w:t>
                            </w:r>
                            <w:r w:rsidR="00A77C20">
                              <w:rPr>
                                <w:caps w:val="0"/>
                                <w:noProof w:val="0"/>
                                <w:szCs w:val="40"/>
                              </w:rPr>
                              <w:t xml:space="preserve"> </w:t>
                            </w:r>
                            <w:r>
                              <w:rPr>
                                <w:caps w:val="0"/>
                                <w:noProof w:val="0"/>
                                <w:szCs w:val="40"/>
                              </w:rPr>
                              <w:t>p</w:t>
                            </w:r>
                            <w:r w:rsidR="00A77C20">
                              <w:rPr>
                                <w:caps w:val="0"/>
                                <w:noProof w:val="0"/>
                                <w:szCs w:val="40"/>
                              </w:rPr>
                              <w:t>aper</w:t>
                            </w:r>
                            <w:r w:rsidR="003267DE" w:rsidRPr="00B41B37">
                              <w:rPr>
                                <w:caps w:val="0"/>
                                <w:noProof w:val="0"/>
                                <w:szCs w:val="40"/>
                              </w:rPr>
                              <w:t xml:space="preserve">, </w:t>
                            </w:r>
                            <w:r>
                              <w:rPr>
                                <w:caps w:val="0"/>
                                <w:noProof w:val="0"/>
                                <w:szCs w:val="40"/>
                              </w:rPr>
                              <w:t>23 February</w:t>
                            </w:r>
                            <w:r w:rsidR="003267DE" w:rsidRPr="00B41B37">
                              <w:rPr>
                                <w:caps w:val="0"/>
                                <w:noProof w:val="0"/>
                                <w:szCs w:val="40"/>
                              </w:rPr>
                              <w:t xml:space="preserve"> 2022</w:t>
                            </w:r>
                          </w:p>
                          <w:p w14:paraId="39F8136C" w14:textId="77777777" w:rsidR="003267DE" w:rsidRDefault="003267DE" w:rsidP="00957C2E">
                            <w:pPr>
                              <w:pStyle w:val="UTSHeading2"/>
                              <w:rPr>
                                <w:caps w:val="0"/>
                                <w:noProof w:val="0"/>
                                <w:sz w:val="28"/>
                              </w:rPr>
                            </w:pPr>
                          </w:p>
                          <w:p w14:paraId="1C0A6BB4" w14:textId="0C6F4D00" w:rsidR="003267DE" w:rsidRPr="001F3906" w:rsidRDefault="00D90A7D" w:rsidP="002E6FCD">
                            <w:pPr>
                              <w:pStyle w:val="UTSHeading2"/>
                              <w:rPr>
                                <w:noProof w:val="0"/>
                                <w:sz w:val="28"/>
                              </w:rPr>
                            </w:pPr>
                            <w:r>
                              <w:rPr>
                                <w:caps w:val="0"/>
                                <w:noProof w:val="0"/>
                                <w:sz w:val="28"/>
                              </w:rPr>
                              <w:t>Prepared for the Solomon Islands Law Reform Commission</w:t>
                            </w:r>
                          </w:p>
                          <w:p w14:paraId="56D2A44B" w14:textId="77777777" w:rsidR="003267DE" w:rsidRDefault="003267DE" w:rsidP="002E6FCD">
                            <w:pPr>
                              <w:pStyle w:val="UTSHeading2"/>
                              <w:rPr>
                                <w:noProof w:val="0"/>
                              </w:rPr>
                            </w:pPr>
                          </w:p>
                          <w:p w14:paraId="69F5AB28" w14:textId="77777777" w:rsidR="003267DE" w:rsidRDefault="003267DE" w:rsidP="002E6FCD">
                            <w:pPr>
                              <w:pStyle w:val="UTSHeading1"/>
                              <w:spacing w:before="20" w:after="200"/>
                              <w:rPr>
                                <w:noProof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A008A" id="_x0000_t202" coordsize="21600,21600" o:spt="202" path="m,l,21600r21600,l21600,xe">
                <v:stroke joinstyle="miter"/>
                <v:path gradientshapeok="t" o:connecttype="rect"/>
              </v:shapetype>
              <v:shape id="Text Box 5" o:spid="_x0000_s1026" type="#_x0000_t202" style="position:absolute;margin-left:-21.2pt;margin-top:97.35pt;width:469.55pt;height:1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NQ1wIAAP0FAAAOAAAAZHJzL2Uyb0RvYy54bWysVNuO2yAQfa/Uf0C8e32J48TWOqvdZFNV&#10;2l7U3arPBGMb1QYXSJy06r93gCQbtVKlrvqCYGDOzJw5zPXNvu/QjinNpShxfBVhxASVFRdNiT8/&#10;rYM5RtoQUZFOClbiA9P4ZvH61fU4FCyRrewqphCACF2MQ4lbY4YiDDVtWU/0lRyYgMtaqp4YOKom&#10;rBQZAb3vwiSKsnCUqhqUpExrsK78JV44/Lpm1Hyoa80M6koMuRm3Krdu7BourknRKDK0nB7TIC/I&#10;oidcQNAz1IoYgraK/wHVc6qklrW5orIPZV1zylwNUE0c/VbNY0sG5moBcvRwpkn/P1j6fvdRIV6V&#10;OMNIkB5a9MT2Bt3JPZpadsZBF/DocYBnZg9m6LKrVA8Pkn7VSMhlS0TDbpWSY8tIBdnF1jO8cPU4&#10;2oJsxneygjBka6QD2teqt9QBGQjQoUuHc2dsKhSM0zybJPMpRhTu4iyexJPcxSDFyX1Q2rxhskd2&#10;U2IFrXfwZPegjU2HFKcnx0ZVa951qO446E6AOjFS0nzhpnW8n+psNPg7D40GCcVFvnyrULbsFNoR&#10;0BahlAnjmTFcGG/Nsig6akwTA3V7c2zNzg5JOalbIJdioy9DTd07azm/+lu4NAUHL+kXhYttuH8o&#10;L5m8JB7UfOa04wKBeIDraO6DI01Jx0CPTkOkMLxjn6CXvoPwU13XLCWdsKuQtov+1ltAM8eOWfW4&#10;T/gjj/L7+f08DdIkuw/SqKqC2/UyDbJ1PJuuJqvlchX/9MxdOMVJGt0lebDO5rMgrdNpkM+ieRDF&#10;+V2eRWmertbOCSo6BXWitzr3ijf7zR5ysz9hI6sDyB8k5jQOMxM2rVTfMRph/pRYf9sSBSLs3gpQ&#10;WR6nqR1Y7pBOZwkc1OXN5vKGCApQJTYY6LTbpfFDbjso3rQQyUtTyFv4djV3dD5ndfysMGO8CP08&#10;tEPs8uxePU/txS8AAAD//wMAUEsDBBQABgAIAAAAIQD3bV+i4gAAAAsBAAAPAAAAZHJzL2Rvd25y&#10;ZXYueG1sTI/BSsNAEIbvgu+wjOBF2o1haZOYTZGKKAiitYrHbXZMgtnZkN220ad3POlthv/jn2/K&#10;1eR6ccAxdJ40XM4TEEi1tx01GrYvt7MMRIiGrOk9oYYvDLCqTk9KU1h/pGc8bGIjuIRCYTS0MQ6F&#10;lKFu0Zkw9wMSZx9+dCbyOjbSjubI5a6XaZIspDMd8YXWDLhusf7c7J2GJ9pm96l/eP1ep1lu7t7e&#10;Lx5vlNbnZ9P1FYiIU/yD4Vef1aFip53fkw2i1zBTqWKUg1wtQTCR5QsedhqUypYgq1L+/6H6AQAA&#10;//8DAFBLAQItABQABgAIAAAAIQC2gziS/gAAAOEBAAATAAAAAAAAAAAAAAAAAAAAAABbQ29udGVu&#10;dF9UeXBlc10ueG1sUEsBAi0AFAAGAAgAAAAhADj9If/WAAAAlAEAAAsAAAAAAAAAAAAAAAAALwEA&#10;AF9yZWxzLy5yZWxzUEsBAi0AFAAGAAgAAAAhALROM1DXAgAA/QUAAA4AAAAAAAAAAAAAAAAALgIA&#10;AGRycy9lMm9Eb2MueG1sUEsBAi0AFAAGAAgAAAAhAPdtX6LiAAAACwEAAA8AAAAAAAAAAAAAAAAA&#10;MQUAAGRycy9kb3ducmV2LnhtbFBLBQYAAAAABAAEAPMAAABABgAAAAA=&#10;" fillcolor="#5d86f4 [2132]" stroked="f">
                <v:fill color2="#c7d5fb [756]" rotate="t" angle="270" colors="0 #8593ff;.5 #b6bdff;1 #dcdfff" focus="100%" type="gradient"/>
                <v:textbox>
                  <w:txbxContent>
                    <w:p w14:paraId="0E1B9281" w14:textId="4088363D" w:rsidR="00D90A7D" w:rsidRDefault="00D90A7D" w:rsidP="00957C2E">
                      <w:pPr>
                        <w:pStyle w:val="UTSHeading2"/>
                        <w:rPr>
                          <w:caps w:val="0"/>
                          <w:noProof w:val="0"/>
                          <w:sz w:val="40"/>
                          <w:szCs w:val="40"/>
                        </w:rPr>
                      </w:pPr>
                      <w:r w:rsidRPr="00D90A7D">
                        <w:rPr>
                          <w:caps w:val="0"/>
                          <w:noProof w:val="0"/>
                          <w:sz w:val="40"/>
                          <w:szCs w:val="40"/>
                        </w:rPr>
                        <w:t>Regulatory approaches to misinformation and disinformation</w:t>
                      </w:r>
                      <w:r>
                        <w:rPr>
                          <w:caps w:val="0"/>
                          <w:noProof w:val="0"/>
                          <w:sz w:val="40"/>
                          <w:szCs w:val="40"/>
                        </w:rPr>
                        <w:t xml:space="preserve"> </w:t>
                      </w:r>
                      <w:r w:rsidRPr="00D90A7D">
                        <w:rPr>
                          <w:caps w:val="0"/>
                          <w:noProof w:val="0"/>
                          <w:sz w:val="40"/>
                          <w:szCs w:val="40"/>
                        </w:rPr>
                        <w:t xml:space="preserve">in the Asia–Pacific region </w:t>
                      </w:r>
                    </w:p>
                    <w:p w14:paraId="577B8DB4" w14:textId="3CF881DE" w:rsidR="003267DE" w:rsidRPr="00B41B37" w:rsidRDefault="00D90A7D" w:rsidP="00957C2E">
                      <w:pPr>
                        <w:pStyle w:val="UTSHeading2"/>
                        <w:rPr>
                          <w:caps w:val="0"/>
                          <w:noProof w:val="0"/>
                          <w:szCs w:val="40"/>
                        </w:rPr>
                      </w:pPr>
                      <w:r>
                        <w:rPr>
                          <w:caps w:val="0"/>
                          <w:noProof w:val="0"/>
                          <w:szCs w:val="40"/>
                        </w:rPr>
                        <w:t>Background</w:t>
                      </w:r>
                      <w:r w:rsidR="00A77C20">
                        <w:rPr>
                          <w:caps w:val="0"/>
                          <w:noProof w:val="0"/>
                          <w:szCs w:val="40"/>
                        </w:rPr>
                        <w:t xml:space="preserve"> </w:t>
                      </w:r>
                      <w:r>
                        <w:rPr>
                          <w:caps w:val="0"/>
                          <w:noProof w:val="0"/>
                          <w:szCs w:val="40"/>
                        </w:rPr>
                        <w:t>p</w:t>
                      </w:r>
                      <w:r w:rsidR="00A77C20">
                        <w:rPr>
                          <w:caps w:val="0"/>
                          <w:noProof w:val="0"/>
                          <w:szCs w:val="40"/>
                        </w:rPr>
                        <w:t>aper</w:t>
                      </w:r>
                      <w:r w:rsidR="003267DE" w:rsidRPr="00B41B37">
                        <w:rPr>
                          <w:caps w:val="0"/>
                          <w:noProof w:val="0"/>
                          <w:szCs w:val="40"/>
                        </w:rPr>
                        <w:t xml:space="preserve">, </w:t>
                      </w:r>
                      <w:r>
                        <w:rPr>
                          <w:caps w:val="0"/>
                          <w:noProof w:val="0"/>
                          <w:szCs w:val="40"/>
                        </w:rPr>
                        <w:t>23 February</w:t>
                      </w:r>
                      <w:r w:rsidR="003267DE" w:rsidRPr="00B41B37">
                        <w:rPr>
                          <w:caps w:val="0"/>
                          <w:noProof w:val="0"/>
                          <w:szCs w:val="40"/>
                        </w:rPr>
                        <w:t xml:space="preserve"> 2022</w:t>
                      </w:r>
                    </w:p>
                    <w:p w14:paraId="39F8136C" w14:textId="77777777" w:rsidR="003267DE" w:rsidRDefault="003267DE" w:rsidP="00957C2E">
                      <w:pPr>
                        <w:pStyle w:val="UTSHeading2"/>
                        <w:rPr>
                          <w:caps w:val="0"/>
                          <w:noProof w:val="0"/>
                          <w:sz w:val="28"/>
                        </w:rPr>
                      </w:pPr>
                    </w:p>
                    <w:p w14:paraId="1C0A6BB4" w14:textId="0C6F4D00" w:rsidR="003267DE" w:rsidRPr="001F3906" w:rsidRDefault="00D90A7D" w:rsidP="002E6FCD">
                      <w:pPr>
                        <w:pStyle w:val="UTSHeading2"/>
                        <w:rPr>
                          <w:noProof w:val="0"/>
                          <w:sz w:val="28"/>
                        </w:rPr>
                      </w:pPr>
                      <w:r>
                        <w:rPr>
                          <w:caps w:val="0"/>
                          <w:noProof w:val="0"/>
                          <w:sz w:val="28"/>
                        </w:rPr>
                        <w:t>Prepared for the Solomon Islands Law Reform Commission</w:t>
                      </w:r>
                    </w:p>
                    <w:p w14:paraId="56D2A44B" w14:textId="77777777" w:rsidR="003267DE" w:rsidRDefault="003267DE" w:rsidP="002E6FCD">
                      <w:pPr>
                        <w:pStyle w:val="UTSHeading2"/>
                        <w:rPr>
                          <w:noProof w:val="0"/>
                        </w:rPr>
                      </w:pPr>
                    </w:p>
                    <w:p w14:paraId="69F5AB28" w14:textId="77777777" w:rsidR="003267DE" w:rsidRDefault="003267DE" w:rsidP="002E6FCD">
                      <w:pPr>
                        <w:pStyle w:val="UTSHeading1"/>
                        <w:spacing w:before="20" w:after="200"/>
                        <w:rPr>
                          <w:noProof w:val="0"/>
                        </w:rPr>
                      </w:pPr>
                    </w:p>
                  </w:txbxContent>
                </v:textbox>
              </v:shape>
            </w:pict>
          </mc:Fallback>
        </mc:AlternateContent>
      </w:r>
      <w:r w:rsidR="007D606A" w:rsidRPr="007D606A">
        <w:br w:type="page"/>
      </w:r>
    </w:p>
    <w:p w14:paraId="4CE64545" w14:textId="77777777" w:rsidR="00D278E0" w:rsidRPr="00E16A60" w:rsidRDefault="00D278E0" w:rsidP="007A7267">
      <w:pPr>
        <w:pStyle w:val="Heading2"/>
        <w:rPr>
          <w:rFonts w:eastAsia="Gotham Book"/>
        </w:rPr>
      </w:pPr>
      <w:r w:rsidRPr="00E16A60">
        <w:rPr>
          <w:rFonts w:eastAsia="Gotham Book"/>
        </w:rPr>
        <w:lastRenderedPageBreak/>
        <w:t xml:space="preserve">About the Centre for Media Transition </w:t>
      </w:r>
    </w:p>
    <w:p w14:paraId="413CAA29" w14:textId="77777777" w:rsidR="00D278E0" w:rsidRPr="00D278E0" w:rsidRDefault="00D278E0" w:rsidP="00A11063">
      <w:pPr>
        <w:pStyle w:val="BodyText"/>
        <w:jc w:val="both"/>
      </w:pPr>
      <w:r w:rsidRPr="00D278E0">
        <w:rPr>
          <w:rFonts w:eastAsia="Gotham Book"/>
        </w:rPr>
        <w:t>The Centre (CMT)</w:t>
      </w:r>
      <w:r w:rsidRPr="00D278E0">
        <w:t xml:space="preserve"> was established in 2017 as an applied research unit based at the University of Technology Sydney (UTS). It is an interdisciplinary initiative of the Faculty of Arts and Social Sciences and the Faculty of Law, sitting at the intersection of media, journalism, technology, ethics, regulation and business.  </w:t>
      </w:r>
    </w:p>
    <w:p w14:paraId="4F58B498" w14:textId="77777777" w:rsidR="00D278E0" w:rsidRPr="00D278E0" w:rsidRDefault="00D278E0" w:rsidP="00A11063">
      <w:pPr>
        <w:pStyle w:val="BodyText"/>
        <w:jc w:val="both"/>
      </w:pPr>
      <w:r w:rsidRPr="00D278E0">
        <w:t xml:space="preserve">Working with industry, academia, government and others, the CMT aims to understand media transition and digital disruption, with a view to recommending legal reform and other measures that promote the public interest. In addition, the CMT aims </w:t>
      </w:r>
      <w:r w:rsidRPr="00D278E0">
        <w:rPr>
          <w:rFonts w:eastAsia="Gotham Book"/>
        </w:rPr>
        <w:t>to assist</w:t>
      </w:r>
      <w:r w:rsidRPr="00D278E0">
        <w:t xml:space="preserve"> news media to adapt for a digital environment, including by identifying potentially sustainable business models, develop suitable ethical and regulatory frameworks for a fast-changing digital ecosystem</w:t>
      </w:r>
      <w:r w:rsidRPr="00D278E0">
        <w:rPr>
          <w:rFonts w:eastAsia="Gotham Book"/>
        </w:rPr>
        <w:t>, foster</w:t>
      </w:r>
      <w:r w:rsidRPr="00D278E0">
        <w:t xml:space="preserve"> quality journalism, and develop a diverse media environment that embraces local/regional, international and transnational issues and debate.</w:t>
      </w:r>
    </w:p>
    <w:p w14:paraId="191512EC" w14:textId="77777777" w:rsidR="00D278E0" w:rsidRPr="00D278E0" w:rsidRDefault="00D278E0" w:rsidP="00D278E0">
      <w:pPr>
        <w:pStyle w:val="BodyText"/>
        <w:rPr>
          <w:rFonts w:eastAsia="Calibri"/>
        </w:rPr>
      </w:pPr>
    </w:p>
    <w:p w14:paraId="5883AA32" w14:textId="43BA943B" w:rsidR="00D278E0" w:rsidRPr="00D278E0" w:rsidRDefault="00D278E0" w:rsidP="00D278E0">
      <w:pPr>
        <w:pStyle w:val="BodyText"/>
        <w:rPr>
          <w:rFonts w:eastAsia="Calibri"/>
        </w:rPr>
      </w:pPr>
      <w:r w:rsidRPr="00D278E0">
        <w:rPr>
          <w:rFonts w:eastAsia="Calibri"/>
        </w:rPr>
        <w:t xml:space="preserve">This </w:t>
      </w:r>
      <w:r w:rsidR="00182970">
        <w:rPr>
          <w:rFonts w:eastAsia="Calibri"/>
        </w:rPr>
        <w:t>paper</w:t>
      </w:r>
      <w:r w:rsidRPr="00D278E0">
        <w:rPr>
          <w:rFonts w:eastAsia="Calibri"/>
        </w:rPr>
        <w:t xml:space="preserve"> was prepared by:</w:t>
      </w:r>
    </w:p>
    <w:p w14:paraId="6B221C35" w14:textId="0AD7A18D" w:rsidR="00B41B37" w:rsidRDefault="00B41B37" w:rsidP="00D90A7D">
      <w:pPr>
        <w:pStyle w:val="BodyText"/>
        <w:numPr>
          <w:ilvl w:val="0"/>
          <w:numId w:val="16"/>
        </w:numPr>
        <w:rPr>
          <w:rFonts w:eastAsia="Calibri"/>
        </w:rPr>
      </w:pPr>
      <w:r>
        <w:rPr>
          <w:rFonts w:eastAsia="Calibri"/>
        </w:rPr>
        <w:t>Dr</w:t>
      </w:r>
      <w:r w:rsidR="00D90A7D">
        <w:rPr>
          <w:rFonts w:eastAsia="Calibri"/>
        </w:rPr>
        <w:t xml:space="preserve"> Michael Davis, Research Fellow, Centre for Media Transition</w:t>
      </w:r>
    </w:p>
    <w:p w14:paraId="39C69EE6" w14:textId="2AA48C22" w:rsidR="00D278E0" w:rsidRDefault="00D278E0" w:rsidP="00D278E0">
      <w:pPr>
        <w:pStyle w:val="BodyText"/>
        <w:rPr>
          <w:rFonts w:eastAsia="Gotham Book"/>
        </w:rPr>
      </w:pPr>
    </w:p>
    <w:p w14:paraId="05A0C966" w14:textId="045B07C1" w:rsidR="00537137" w:rsidRDefault="00537137" w:rsidP="00D278E0">
      <w:pPr>
        <w:pStyle w:val="BodyText"/>
        <w:rPr>
          <w:rFonts w:eastAsia="Gotham Book"/>
        </w:rPr>
      </w:pPr>
    </w:p>
    <w:p w14:paraId="33452558" w14:textId="77777777" w:rsidR="00537137" w:rsidRDefault="00537137" w:rsidP="00D278E0">
      <w:pPr>
        <w:pStyle w:val="BodyText"/>
        <w:rPr>
          <w:rFonts w:eastAsia="Gotham Book"/>
        </w:rPr>
      </w:pPr>
    </w:p>
    <w:p w14:paraId="13CABB5E" w14:textId="77777777" w:rsidR="003E0D65" w:rsidRDefault="003E0D65" w:rsidP="00D278E0">
      <w:pPr>
        <w:pStyle w:val="BodyText"/>
        <w:rPr>
          <w:rFonts w:eastAsia="Gotham Book"/>
        </w:rPr>
      </w:pPr>
    </w:p>
    <w:p w14:paraId="6382C882" w14:textId="77777777" w:rsidR="003E0D65" w:rsidRDefault="003E0D65" w:rsidP="00D278E0">
      <w:pPr>
        <w:pStyle w:val="BodyText"/>
        <w:rPr>
          <w:rFonts w:eastAsia="Gotham Book"/>
        </w:rPr>
      </w:pPr>
    </w:p>
    <w:p w14:paraId="2B530862" w14:textId="77777777" w:rsidR="003E0D65" w:rsidRPr="00D278E0" w:rsidRDefault="003E0D65" w:rsidP="00D278E0">
      <w:pPr>
        <w:pStyle w:val="BodyText"/>
        <w:rPr>
          <w:rFonts w:eastAsia="Gotham Book"/>
        </w:rPr>
      </w:pPr>
    </w:p>
    <w:p w14:paraId="2B755352" w14:textId="77777777" w:rsidR="00D278E0" w:rsidRPr="00D278E0" w:rsidRDefault="00D278E0" w:rsidP="00D278E0">
      <w:pPr>
        <w:pStyle w:val="BodyText"/>
        <w:rPr>
          <w:rFonts w:eastAsia="Gotham Book"/>
        </w:rPr>
      </w:pPr>
    </w:p>
    <w:p w14:paraId="4F0A41B6" w14:textId="77777777" w:rsidR="00D278E0" w:rsidRPr="00D278E0" w:rsidRDefault="00D278E0" w:rsidP="00D278E0">
      <w:pPr>
        <w:pStyle w:val="BodyText"/>
        <w:rPr>
          <w:rFonts w:eastAsia="Calibri"/>
          <w:b/>
        </w:rPr>
      </w:pPr>
      <w:r w:rsidRPr="00D278E0">
        <w:rPr>
          <w:rFonts w:eastAsia="Calibri"/>
          <w:b/>
        </w:rPr>
        <w:t>CONTACT</w:t>
      </w:r>
    </w:p>
    <w:p w14:paraId="5787C38C" w14:textId="77777777" w:rsidR="00D278E0" w:rsidRPr="00D278E0" w:rsidRDefault="00D278E0" w:rsidP="00D278E0">
      <w:pPr>
        <w:pStyle w:val="BodyText"/>
        <w:rPr>
          <w:rFonts w:eastAsia="Calibri"/>
        </w:rPr>
      </w:pPr>
      <w:r w:rsidRPr="00D278E0">
        <w:rPr>
          <w:rFonts w:eastAsia="Calibri"/>
        </w:rPr>
        <w:t>Centre for Media Transition</w:t>
      </w:r>
      <w:r w:rsidRPr="00D278E0">
        <w:rPr>
          <w:rFonts w:eastAsia="Calibri"/>
        </w:rPr>
        <w:br/>
        <w:t>Faculty of Law, University of Technology Sydney</w:t>
      </w:r>
      <w:r w:rsidRPr="00D278E0">
        <w:rPr>
          <w:rFonts w:eastAsia="Calibri"/>
        </w:rPr>
        <w:br/>
        <w:t xml:space="preserve">Building 2, Level 15        </w:t>
      </w:r>
      <w:r w:rsidRPr="00D278E0">
        <w:rPr>
          <w:rFonts w:eastAsia="Calibri"/>
        </w:rPr>
        <w:br/>
        <w:t>UTS City Campus, Broadway</w:t>
      </w:r>
      <w:r w:rsidRPr="00D278E0">
        <w:rPr>
          <w:rFonts w:eastAsia="Calibri"/>
        </w:rPr>
        <w:br/>
        <w:t xml:space="preserve">PO Box 123, Broadway NSW 2007 </w:t>
      </w:r>
    </w:p>
    <w:p w14:paraId="0E65C94C" w14:textId="77777777" w:rsidR="00D278E0" w:rsidRPr="00D278E0" w:rsidRDefault="00D278E0" w:rsidP="00D278E0">
      <w:pPr>
        <w:pStyle w:val="BodyText"/>
        <w:rPr>
          <w:rFonts w:eastAsia="Calibri"/>
        </w:rPr>
      </w:pPr>
      <w:r w:rsidRPr="00D278E0">
        <w:rPr>
          <w:rFonts w:eastAsia="Calibri"/>
        </w:rPr>
        <w:t>cmt@uts.edu.au</w:t>
      </w:r>
      <w:r w:rsidRPr="00D278E0">
        <w:rPr>
          <w:rFonts w:eastAsia="Calibri"/>
        </w:rPr>
        <w:br/>
        <w:t>+61 2 9514 9669</w:t>
      </w:r>
    </w:p>
    <w:p w14:paraId="71E8309D" w14:textId="77777777" w:rsidR="00D278E0" w:rsidRPr="00D278E0" w:rsidRDefault="00320C1F" w:rsidP="00D278E0">
      <w:pPr>
        <w:pStyle w:val="BodyText"/>
        <w:rPr>
          <w:rFonts w:eastAsia="Gotham Book"/>
        </w:rPr>
      </w:pPr>
      <w:hyperlink r:id="rId13">
        <w:r w:rsidR="00D278E0" w:rsidRPr="00D278E0">
          <w:rPr>
            <w:rStyle w:val="Hyperlink"/>
            <w:rFonts w:eastAsia="Gotham Book"/>
          </w:rPr>
          <w:t>cmt.uts.edu.au</w:t>
        </w:r>
      </w:hyperlink>
    </w:p>
    <w:p w14:paraId="739DE63A" w14:textId="77777777" w:rsidR="0019016D" w:rsidRDefault="0019016D" w:rsidP="000D2D4D">
      <w:pPr>
        <w:pStyle w:val="BodyText"/>
        <w:rPr>
          <w:rFonts w:eastAsia="Gotham Book"/>
        </w:rPr>
      </w:pPr>
    </w:p>
    <w:p w14:paraId="0B962E31" w14:textId="77777777" w:rsidR="002E6FCD" w:rsidRDefault="002E6FCD" w:rsidP="000D2D4D">
      <w:pPr>
        <w:pStyle w:val="BodyText"/>
        <w:rPr>
          <w:rFonts w:eastAsia="Gotham Book"/>
        </w:rPr>
      </w:pPr>
    </w:p>
    <w:p w14:paraId="1B76CFAA" w14:textId="77777777" w:rsidR="002E6FCD" w:rsidRDefault="002E6FCD" w:rsidP="000D2D4D">
      <w:pPr>
        <w:pStyle w:val="BodyText"/>
        <w:rPr>
          <w:rFonts w:eastAsia="Gotham Book"/>
        </w:rPr>
      </w:pPr>
    </w:p>
    <w:p w14:paraId="380979A3" w14:textId="77777777" w:rsidR="00A32014" w:rsidRDefault="00A32014">
      <w:pPr>
        <w:spacing w:before="80" w:after="80"/>
        <w:rPr>
          <w:rFonts w:eastAsia="Gotham Book" w:cs="Times New Roman"/>
          <w:sz w:val="21"/>
          <w:szCs w:val="24"/>
          <w:lang w:eastAsia="en-AU"/>
        </w:rPr>
      </w:pPr>
      <w:r>
        <w:rPr>
          <w:rFonts w:eastAsia="Gotham Book"/>
        </w:rPr>
        <w:br w:type="page"/>
      </w:r>
    </w:p>
    <w:p w14:paraId="413A4F92" w14:textId="0137EBDA" w:rsidR="000B0327" w:rsidRPr="002E6FCD" w:rsidRDefault="00D90A7D" w:rsidP="000B0327">
      <w:pPr>
        <w:pStyle w:val="Heading2"/>
        <w:rPr>
          <w:rFonts w:eastAsia="Gotham Book"/>
        </w:rPr>
      </w:pPr>
      <w:r>
        <w:rPr>
          <w:rFonts w:eastAsia="Gotham Book"/>
        </w:rPr>
        <w:lastRenderedPageBreak/>
        <w:t>Introduction</w:t>
      </w:r>
    </w:p>
    <w:p w14:paraId="1FB3B6A3" w14:textId="5928E666" w:rsidR="00D90A7D" w:rsidRPr="00D90A7D" w:rsidRDefault="00F97ACA" w:rsidP="00D90A7D">
      <w:pPr>
        <w:pStyle w:val="BodyText"/>
        <w:rPr>
          <w:rFonts w:eastAsia="Gotham Book"/>
        </w:rPr>
      </w:pPr>
      <w:r>
        <w:rPr>
          <w:rFonts w:eastAsia="Gotham Book"/>
        </w:rPr>
        <w:t>Recent</w:t>
      </w:r>
      <w:r w:rsidR="00D90A7D" w:rsidRPr="00D90A7D">
        <w:rPr>
          <w:rFonts w:eastAsia="Gotham Book"/>
        </w:rPr>
        <w:t xml:space="preserve"> years have seen </w:t>
      </w:r>
      <w:r>
        <w:rPr>
          <w:rFonts w:eastAsia="Gotham Book"/>
        </w:rPr>
        <w:t>clear</w:t>
      </w:r>
      <w:r w:rsidR="00D90A7D" w:rsidRPr="00D90A7D">
        <w:rPr>
          <w:rFonts w:eastAsia="Gotham Book"/>
        </w:rPr>
        <w:t xml:space="preserve"> movement</w:t>
      </w:r>
      <w:r w:rsidR="00D90A7D">
        <w:rPr>
          <w:rFonts w:eastAsia="Gotham Book"/>
        </w:rPr>
        <w:t xml:space="preserve"> </w:t>
      </w:r>
      <w:r w:rsidR="00D90A7D" w:rsidRPr="00D90A7D">
        <w:rPr>
          <w:rFonts w:eastAsia="Gotham Book"/>
        </w:rPr>
        <w:t xml:space="preserve">towards the regulation of </w:t>
      </w:r>
      <w:r w:rsidR="00D90A7D">
        <w:rPr>
          <w:rFonts w:eastAsia="Gotham Book"/>
        </w:rPr>
        <w:t>online misinformation and disinformation</w:t>
      </w:r>
      <w:r w:rsidR="00D90A7D" w:rsidRPr="00D90A7D">
        <w:rPr>
          <w:rFonts w:eastAsia="Gotham Book"/>
        </w:rPr>
        <w:t>. The first substantial</w:t>
      </w:r>
      <w:r w:rsidR="00D90A7D">
        <w:rPr>
          <w:rFonts w:eastAsia="Gotham Book"/>
        </w:rPr>
        <w:t xml:space="preserve"> </w:t>
      </w:r>
      <w:r w:rsidR="00D90A7D" w:rsidRPr="00D90A7D">
        <w:rPr>
          <w:rFonts w:eastAsia="Gotham Book"/>
        </w:rPr>
        <w:t>effort to regulate came in the EU, following</w:t>
      </w:r>
      <w:r w:rsidR="00D90A7D">
        <w:rPr>
          <w:rFonts w:eastAsia="Gotham Book"/>
        </w:rPr>
        <w:t xml:space="preserve"> </w:t>
      </w:r>
      <w:r w:rsidR="00D90A7D" w:rsidRPr="00D90A7D">
        <w:rPr>
          <w:rFonts w:eastAsia="Gotham Book"/>
        </w:rPr>
        <w:t>growing evidence of Russian disinformation campaigns, the</w:t>
      </w:r>
      <w:r w:rsidR="00D90A7D">
        <w:rPr>
          <w:rFonts w:eastAsia="Gotham Book"/>
        </w:rPr>
        <w:t xml:space="preserve"> </w:t>
      </w:r>
      <w:r w:rsidR="00D90A7D" w:rsidRPr="00D90A7D">
        <w:rPr>
          <w:rFonts w:eastAsia="Gotham Book"/>
        </w:rPr>
        <w:t>rise of monetised fake news during the US 2016 election</w:t>
      </w:r>
      <w:r w:rsidR="00D90A7D">
        <w:rPr>
          <w:rFonts w:eastAsia="Gotham Book"/>
        </w:rPr>
        <w:t xml:space="preserve">, </w:t>
      </w:r>
      <w:r w:rsidR="00D90A7D" w:rsidRPr="00D90A7D">
        <w:rPr>
          <w:rFonts w:eastAsia="Gotham Book"/>
        </w:rPr>
        <w:t>and the European elections that same year. The EU Code on</w:t>
      </w:r>
      <w:r w:rsidR="00D90A7D">
        <w:rPr>
          <w:rFonts w:eastAsia="Gotham Book"/>
        </w:rPr>
        <w:t xml:space="preserve"> </w:t>
      </w:r>
      <w:r w:rsidR="00D90A7D" w:rsidRPr="00D90A7D">
        <w:rPr>
          <w:rFonts w:eastAsia="Gotham Book"/>
        </w:rPr>
        <w:t>Disinformation was launched in 2018.</w:t>
      </w:r>
    </w:p>
    <w:p w14:paraId="750B6017" w14:textId="207E3163" w:rsidR="000B0327" w:rsidRDefault="00D90A7D" w:rsidP="00D90A7D">
      <w:pPr>
        <w:pStyle w:val="BodyText"/>
        <w:rPr>
          <w:rFonts w:eastAsia="Gotham Book"/>
        </w:rPr>
      </w:pPr>
      <w:r w:rsidRPr="00D90A7D">
        <w:rPr>
          <w:rFonts w:eastAsia="Gotham Book"/>
        </w:rPr>
        <w:t>Moves to regulate have since gathered pace in other</w:t>
      </w:r>
      <w:r>
        <w:rPr>
          <w:rFonts w:eastAsia="Gotham Book"/>
        </w:rPr>
        <w:t xml:space="preserve"> </w:t>
      </w:r>
      <w:r w:rsidRPr="00D90A7D">
        <w:rPr>
          <w:rFonts w:eastAsia="Gotham Book"/>
        </w:rPr>
        <w:t xml:space="preserve">jurisdictions, </w:t>
      </w:r>
      <w:r w:rsidR="001420B5">
        <w:rPr>
          <w:rFonts w:eastAsia="Gotham Book"/>
        </w:rPr>
        <w:t xml:space="preserve">with the pandemic-related surge in misinformation driving many </w:t>
      </w:r>
      <w:r w:rsidR="00331ACA">
        <w:rPr>
          <w:rFonts w:eastAsia="Gotham Book"/>
        </w:rPr>
        <w:t>regulatory efforts, alongside increasing evidence of foreign interference</w:t>
      </w:r>
      <w:r w:rsidR="00AA220C">
        <w:rPr>
          <w:rFonts w:eastAsia="Gotham Book"/>
        </w:rPr>
        <w:t xml:space="preserve"> and influence</w:t>
      </w:r>
      <w:r w:rsidR="00331ACA">
        <w:rPr>
          <w:rFonts w:eastAsia="Gotham Book"/>
        </w:rPr>
        <w:t xml:space="preserve"> in local politics. Such </w:t>
      </w:r>
      <w:r w:rsidR="001640E2">
        <w:rPr>
          <w:rFonts w:eastAsia="Gotham Book"/>
        </w:rPr>
        <w:t>efforts</w:t>
      </w:r>
      <w:r w:rsidR="00331ACA">
        <w:rPr>
          <w:rFonts w:eastAsia="Gotham Book"/>
        </w:rPr>
        <w:t xml:space="preserve"> include</w:t>
      </w:r>
      <w:r w:rsidRPr="00D90A7D">
        <w:rPr>
          <w:rFonts w:eastAsia="Gotham Book"/>
        </w:rPr>
        <w:t xml:space="preserve"> the Australian Code of</w:t>
      </w:r>
      <w:r>
        <w:rPr>
          <w:rFonts w:eastAsia="Gotham Book"/>
        </w:rPr>
        <w:t xml:space="preserve"> </w:t>
      </w:r>
      <w:r w:rsidRPr="00D90A7D">
        <w:rPr>
          <w:rFonts w:eastAsia="Gotham Book"/>
        </w:rPr>
        <w:t>Practice on Disinformation and Misinformation (ACPDM)</w:t>
      </w:r>
      <w:r w:rsidR="00331ACA">
        <w:rPr>
          <w:rFonts w:eastAsia="Gotham Book"/>
        </w:rPr>
        <w:t>, launched</w:t>
      </w:r>
      <w:r w:rsidRPr="00D90A7D">
        <w:rPr>
          <w:rFonts w:eastAsia="Gotham Book"/>
        </w:rPr>
        <w:t xml:space="preserve"> in</w:t>
      </w:r>
      <w:r>
        <w:rPr>
          <w:rFonts w:eastAsia="Gotham Book"/>
        </w:rPr>
        <w:t xml:space="preserve"> </w:t>
      </w:r>
      <w:r w:rsidRPr="00D90A7D">
        <w:rPr>
          <w:rFonts w:eastAsia="Gotham Book"/>
        </w:rPr>
        <w:t>February 2021, the ongoing consideration of the Online Safety</w:t>
      </w:r>
      <w:r>
        <w:rPr>
          <w:rFonts w:eastAsia="Gotham Book"/>
        </w:rPr>
        <w:t xml:space="preserve"> </w:t>
      </w:r>
      <w:r w:rsidRPr="00D90A7D">
        <w:rPr>
          <w:rFonts w:eastAsia="Gotham Book"/>
        </w:rPr>
        <w:t>Bill in the UK Parliament and the launch of a strengthened EU</w:t>
      </w:r>
      <w:r>
        <w:rPr>
          <w:rFonts w:eastAsia="Gotham Book"/>
        </w:rPr>
        <w:t xml:space="preserve"> </w:t>
      </w:r>
      <w:r w:rsidRPr="00D90A7D">
        <w:rPr>
          <w:rFonts w:eastAsia="Gotham Book"/>
        </w:rPr>
        <w:t>code in June 2022. Other countries have also introduced or</w:t>
      </w:r>
      <w:r>
        <w:rPr>
          <w:rFonts w:eastAsia="Gotham Book"/>
        </w:rPr>
        <w:t xml:space="preserve"> </w:t>
      </w:r>
      <w:r w:rsidRPr="00D90A7D">
        <w:rPr>
          <w:rFonts w:eastAsia="Gotham Book"/>
        </w:rPr>
        <w:t>are considering legislation.</w:t>
      </w:r>
    </w:p>
    <w:p w14:paraId="15387A53" w14:textId="5C762A33" w:rsidR="00182970" w:rsidRDefault="00F97ACA" w:rsidP="00D90A7D">
      <w:pPr>
        <w:pStyle w:val="BodyText"/>
        <w:rPr>
          <w:rFonts w:eastAsia="Gotham Book"/>
        </w:rPr>
      </w:pPr>
      <w:r>
        <w:rPr>
          <w:rFonts w:eastAsia="Gotham Book"/>
        </w:rPr>
        <w:t>Regulatory approaches differ markedly, and e</w:t>
      </w:r>
      <w:r w:rsidR="00D90A7D">
        <w:rPr>
          <w:rFonts w:eastAsia="Gotham Book"/>
        </w:rPr>
        <w:t>fforts to address mis- and disinformation generally sit alongside existing media law. Several jurisdictions in the Asia</w:t>
      </w:r>
      <w:r w:rsidR="00B60C30">
        <w:rPr>
          <w:rFonts w:eastAsia="Gotham Book"/>
        </w:rPr>
        <w:t>–</w:t>
      </w:r>
      <w:r w:rsidR="00D90A7D">
        <w:rPr>
          <w:rFonts w:eastAsia="Gotham Book"/>
        </w:rPr>
        <w:t xml:space="preserve">Pacific region have laws that regulate misinformation in </w:t>
      </w:r>
      <w:r w:rsidR="00182970">
        <w:rPr>
          <w:rFonts w:eastAsia="Gotham Book"/>
        </w:rPr>
        <w:t>traditional, offline</w:t>
      </w:r>
      <w:r w:rsidR="00D90A7D">
        <w:rPr>
          <w:rFonts w:eastAsia="Gotham Book"/>
        </w:rPr>
        <w:t xml:space="preserve"> media. </w:t>
      </w:r>
    </w:p>
    <w:p w14:paraId="68DCA4FE" w14:textId="401E902A" w:rsidR="00D90A7D" w:rsidRPr="00A11063" w:rsidRDefault="00182970" w:rsidP="00D90A7D">
      <w:pPr>
        <w:pStyle w:val="BodyText"/>
        <w:rPr>
          <w:rFonts w:eastAsia="Gotham Book"/>
        </w:rPr>
      </w:pPr>
      <w:r>
        <w:rPr>
          <w:rFonts w:eastAsia="Gotham Book"/>
        </w:rPr>
        <w:t xml:space="preserve">The purpose of this paper is to provide an overview of regulatory approaches to misinformation and disinformation, with a focus on the Asia–Pacific and, </w:t>
      </w:r>
      <w:r w:rsidR="00F97ACA">
        <w:rPr>
          <w:rFonts w:eastAsia="Gotham Book"/>
        </w:rPr>
        <w:t>for comparison</w:t>
      </w:r>
      <w:r>
        <w:rPr>
          <w:rFonts w:eastAsia="Gotham Book"/>
        </w:rPr>
        <w:t xml:space="preserve">, on recent developments in Europe and the Americas. While all efforts have been made to ensure accuracy, the </w:t>
      </w:r>
      <w:r w:rsidR="00B60C30">
        <w:rPr>
          <w:rFonts w:eastAsia="Gotham Book"/>
        </w:rPr>
        <w:t>paper</w:t>
      </w:r>
      <w:r>
        <w:rPr>
          <w:rFonts w:eastAsia="Gotham Book"/>
        </w:rPr>
        <w:t xml:space="preserve"> is not intended to be exhaustive. </w:t>
      </w:r>
    </w:p>
    <w:p w14:paraId="590B24D4" w14:textId="76169B2F" w:rsidR="0037457E" w:rsidRPr="0037457E" w:rsidRDefault="00D90A7D" w:rsidP="001722A3">
      <w:pPr>
        <w:pStyle w:val="Heading3"/>
        <w:rPr>
          <w:rFonts w:eastAsia="Gotham Book"/>
        </w:rPr>
      </w:pPr>
      <w:r>
        <w:rPr>
          <w:rFonts w:eastAsia="Gotham Book"/>
        </w:rPr>
        <w:t>Definitions</w:t>
      </w:r>
    </w:p>
    <w:p w14:paraId="7237B01D" w14:textId="2190A011" w:rsidR="006C17B0" w:rsidRDefault="00F97ACA" w:rsidP="00D90A7D">
      <w:pPr>
        <w:pStyle w:val="BodyText"/>
        <w:rPr>
          <w:rFonts w:eastAsia="Gotham Book"/>
        </w:rPr>
      </w:pPr>
      <w:r>
        <w:rPr>
          <w:rFonts w:eastAsia="Gotham Book"/>
        </w:rPr>
        <w:t xml:space="preserve">Prior to the introduction of the </w:t>
      </w:r>
      <w:hyperlink r:id="rId14" w:history="1">
        <w:r w:rsidRPr="006C17B0">
          <w:rPr>
            <w:rStyle w:val="Hyperlink"/>
            <w:rFonts w:eastAsia="Gotham Book"/>
          </w:rPr>
          <w:t xml:space="preserve">European </w:t>
        </w:r>
        <w:r w:rsidR="006C17B0">
          <w:rPr>
            <w:rStyle w:val="Hyperlink"/>
            <w:rFonts w:eastAsia="Gotham Book"/>
          </w:rPr>
          <w:t>a</w:t>
        </w:r>
        <w:r w:rsidRPr="006C17B0">
          <w:rPr>
            <w:rStyle w:val="Hyperlink"/>
            <w:rFonts w:eastAsia="Gotham Book"/>
          </w:rPr>
          <w:t>pproach to tackling online disinformation</w:t>
        </w:r>
      </w:hyperlink>
      <w:r w:rsidR="006C17B0">
        <w:rPr>
          <w:rFonts w:eastAsia="Gotham Book"/>
        </w:rPr>
        <w:t xml:space="preserve"> in 2018, there</w:t>
      </w:r>
      <w:r w:rsidR="004E24C9">
        <w:rPr>
          <w:rFonts w:eastAsia="Gotham Book"/>
        </w:rPr>
        <w:t xml:space="preserve"> was</w:t>
      </w:r>
      <w:r w:rsidR="006C17B0">
        <w:rPr>
          <w:rFonts w:eastAsia="Gotham Book"/>
        </w:rPr>
        <w:t xml:space="preserve"> no common conceptual framework for defining various types of information disorder, with a variety of terms in common use, including fake or false news, misinformation, disinformation, propaganda, influence operations, information warfare, to name </w:t>
      </w:r>
      <w:r w:rsidR="00862338">
        <w:rPr>
          <w:rFonts w:eastAsia="Gotham Book"/>
        </w:rPr>
        <w:t>several</w:t>
      </w:r>
      <w:r w:rsidR="006C17B0">
        <w:rPr>
          <w:rFonts w:eastAsia="Gotham Book"/>
        </w:rPr>
        <w:t>.</w:t>
      </w:r>
    </w:p>
    <w:p w14:paraId="13F5132F" w14:textId="77777777" w:rsidR="00E4386A" w:rsidRDefault="006C17B0" w:rsidP="00D90A7D">
      <w:pPr>
        <w:pStyle w:val="BodyText"/>
        <w:rPr>
          <w:rFonts w:eastAsia="Gotham Book"/>
        </w:rPr>
      </w:pPr>
      <w:r>
        <w:rPr>
          <w:rFonts w:eastAsia="Gotham Book"/>
        </w:rPr>
        <w:t>Under the auspices of the Council of Europe, Clare Wardle and</w:t>
      </w:r>
      <w:r w:rsidRPr="006C17B0">
        <w:rPr>
          <w:rFonts w:eastAsia="Gotham Book"/>
        </w:rPr>
        <w:t xml:space="preserve"> </w:t>
      </w:r>
      <w:r>
        <w:rPr>
          <w:rFonts w:eastAsia="Gotham Book"/>
        </w:rPr>
        <w:t xml:space="preserve">Hossein </w:t>
      </w:r>
      <w:proofErr w:type="spellStart"/>
      <w:r>
        <w:rPr>
          <w:rFonts w:eastAsia="Gotham Book"/>
        </w:rPr>
        <w:t>Derakhshan</w:t>
      </w:r>
      <w:proofErr w:type="spellEnd"/>
      <w:r w:rsidR="00862338">
        <w:rPr>
          <w:rStyle w:val="FootnoteReference"/>
          <w:rFonts w:eastAsia="Gotham Book"/>
        </w:rPr>
        <w:footnoteReference w:id="1"/>
      </w:r>
      <w:r>
        <w:rPr>
          <w:rFonts w:eastAsia="Gotham Book"/>
        </w:rPr>
        <w:t xml:space="preserve"> developed a conceptual framework that would go on to underpin the European approach, including the 2018 European Code of Practice on Disinformation. </w:t>
      </w:r>
      <w:r w:rsidR="00862338">
        <w:rPr>
          <w:rFonts w:eastAsia="Gotham Book"/>
        </w:rPr>
        <w:t xml:space="preserve">This introduced the term ‘information disorder’ to cover a trio of related phenomena: misinformation, disinformation and </w:t>
      </w:r>
      <w:proofErr w:type="spellStart"/>
      <w:r w:rsidR="00862338">
        <w:rPr>
          <w:rFonts w:eastAsia="Gotham Book"/>
        </w:rPr>
        <w:t>malinformation</w:t>
      </w:r>
      <w:proofErr w:type="spellEnd"/>
      <w:r w:rsidR="00862338">
        <w:rPr>
          <w:rFonts w:eastAsia="Gotham Book"/>
        </w:rPr>
        <w:t xml:space="preserve">. </w:t>
      </w:r>
    </w:p>
    <w:p w14:paraId="3BEDA613" w14:textId="77777777" w:rsidR="00E4386A" w:rsidRDefault="00E4386A" w:rsidP="00E4386A">
      <w:pPr>
        <w:pStyle w:val="BodyText"/>
        <w:numPr>
          <w:ilvl w:val="0"/>
          <w:numId w:val="31"/>
        </w:numPr>
      </w:pPr>
      <w:r>
        <w:t>Misinformation is false or misleading information that is not intended to harm or deceive.</w:t>
      </w:r>
    </w:p>
    <w:p w14:paraId="270902FE" w14:textId="77777777" w:rsidR="00E4386A" w:rsidRDefault="00E4386A" w:rsidP="00E4386A">
      <w:pPr>
        <w:pStyle w:val="BodyText"/>
        <w:numPr>
          <w:ilvl w:val="0"/>
          <w:numId w:val="31"/>
        </w:numPr>
      </w:pPr>
      <w:r>
        <w:t>Disinformation is false or misleading information that is intended to harm or deceive.</w:t>
      </w:r>
    </w:p>
    <w:p w14:paraId="1FC486D1" w14:textId="77777777" w:rsidR="00E4386A" w:rsidRDefault="00E4386A" w:rsidP="00E4386A">
      <w:pPr>
        <w:pStyle w:val="BodyText"/>
        <w:numPr>
          <w:ilvl w:val="0"/>
          <w:numId w:val="31"/>
        </w:numPr>
        <w:spacing w:after="240"/>
        <w:ind w:left="714" w:hanging="357"/>
      </w:pPr>
      <w:proofErr w:type="spellStart"/>
      <w:r>
        <w:t>Malinformation</w:t>
      </w:r>
      <w:proofErr w:type="spellEnd"/>
      <w:r>
        <w:t xml:space="preserve"> is true information that is spread with the intention to harm.</w:t>
      </w:r>
    </w:p>
    <w:p w14:paraId="4848D39F" w14:textId="25D981E0" w:rsidR="00E4386A" w:rsidRDefault="00E4386A" w:rsidP="00E4386A">
      <w:pPr>
        <w:pStyle w:val="BodyText"/>
        <w:rPr>
          <w:rFonts w:eastAsia="Gotham Book"/>
        </w:rPr>
      </w:pPr>
      <w:r>
        <w:rPr>
          <w:rFonts w:eastAsia="Gotham Book"/>
        </w:rPr>
        <w:t>The distinctions between these phenomena are best illustrated by the following Venn diagram:</w:t>
      </w:r>
      <w:r>
        <w:rPr>
          <w:rStyle w:val="FootnoteReference"/>
          <w:rFonts w:eastAsia="Gotham Book"/>
        </w:rPr>
        <w:footnoteReference w:id="2"/>
      </w:r>
    </w:p>
    <w:p w14:paraId="2B9398E3" w14:textId="77777777" w:rsidR="00E4386A" w:rsidRDefault="00E4386A">
      <w:pPr>
        <w:spacing w:before="80" w:after="80"/>
        <w:rPr>
          <w:rFonts w:eastAsia="Gotham Book" w:cs="Times New Roman"/>
          <w:sz w:val="21"/>
          <w:szCs w:val="24"/>
          <w:lang w:eastAsia="en-AU"/>
        </w:rPr>
      </w:pPr>
      <w:r>
        <w:rPr>
          <w:rFonts w:eastAsia="Gotham Book"/>
        </w:rPr>
        <w:br w:type="page"/>
      </w:r>
    </w:p>
    <w:p w14:paraId="0D8E18F1" w14:textId="08C96C0B" w:rsidR="00862338" w:rsidRPr="00405DBE" w:rsidRDefault="00405DBE" w:rsidP="00405DBE">
      <w:pPr>
        <w:pStyle w:val="BodyText"/>
        <w:jc w:val="center"/>
        <w:rPr>
          <w:rFonts w:eastAsia="Gotham Book"/>
          <w:b/>
          <w:bCs/>
        </w:rPr>
      </w:pPr>
      <w:r w:rsidRPr="00405DBE">
        <w:rPr>
          <w:rFonts w:eastAsia="Gotham Book"/>
          <w:b/>
          <w:bCs/>
        </w:rPr>
        <w:lastRenderedPageBreak/>
        <w:t>INFORMATION DISORDER</w:t>
      </w:r>
    </w:p>
    <w:p w14:paraId="7EE50866" w14:textId="3CBF0FAE" w:rsidR="00862338" w:rsidRDefault="00405DBE" w:rsidP="00D90A7D">
      <w:pPr>
        <w:pStyle w:val="BodyText"/>
        <w:rPr>
          <w:rFonts w:eastAsia="Gotham Book"/>
        </w:rPr>
      </w:pPr>
      <w:r>
        <w:rPr>
          <w:rFonts w:eastAsia="Gotham Book"/>
          <w:noProof/>
        </w:rPr>
        <mc:AlternateContent>
          <mc:Choice Requires="wpg">
            <w:drawing>
              <wp:anchor distT="0" distB="0" distL="114300" distR="114300" simplePos="0" relativeHeight="251673600" behindDoc="0" locked="0" layoutInCell="1" allowOverlap="1" wp14:anchorId="5F5D2E88" wp14:editId="72D9C331">
                <wp:simplePos x="0" y="0"/>
                <wp:positionH relativeFrom="column">
                  <wp:posOffset>444842</wp:posOffset>
                </wp:positionH>
                <wp:positionV relativeFrom="paragraph">
                  <wp:posOffset>74930</wp:posOffset>
                </wp:positionV>
                <wp:extent cx="4559300" cy="2569741"/>
                <wp:effectExtent l="12700" t="12700" r="12700" b="8890"/>
                <wp:wrapNone/>
                <wp:docPr id="17" name="Group 17"/>
                <wp:cNvGraphicFramePr/>
                <a:graphic xmlns:a="http://schemas.openxmlformats.org/drawingml/2006/main">
                  <a:graphicData uri="http://schemas.microsoft.com/office/word/2010/wordprocessingGroup">
                    <wpg:wgp>
                      <wpg:cNvGrpSpPr/>
                      <wpg:grpSpPr>
                        <a:xfrm>
                          <a:off x="0" y="0"/>
                          <a:ext cx="4559300" cy="2569741"/>
                          <a:chOff x="0" y="0"/>
                          <a:chExt cx="4502990" cy="2587602"/>
                        </a:xfrm>
                      </wpg:grpSpPr>
                      <wps:wsp>
                        <wps:cNvPr id="5" name="Flowchart: Connector 5"/>
                        <wps:cNvSpPr/>
                        <wps:spPr>
                          <a:xfrm>
                            <a:off x="1647646" y="17253"/>
                            <a:ext cx="2855344" cy="2570349"/>
                          </a:xfrm>
                          <a:prstGeom prst="flowChartConnector">
                            <a:avLst/>
                          </a:prstGeom>
                          <a:solidFill>
                            <a:srgbClr val="C31700">
                              <a:alpha val="40000"/>
                            </a:srgbClr>
                          </a:solidFill>
                          <a:ln w="25400" cap="flat" cmpd="sng" algn="ctr">
                            <a:solidFill>
                              <a:srgbClr val="0F4BEB">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Connector 7"/>
                        <wps:cNvSpPr/>
                        <wps:spPr>
                          <a:xfrm>
                            <a:off x="0" y="0"/>
                            <a:ext cx="2855344" cy="2570349"/>
                          </a:xfrm>
                          <a:prstGeom prst="flowChartConnector">
                            <a:avLst/>
                          </a:prstGeom>
                          <a:solidFill>
                            <a:srgbClr val="829709">
                              <a:alpha val="43922"/>
                            </a:srgbClr>
                          </a:solidFill>
                          <a:ln w="25400" cap="flat" cmpd="sng" algn="ctr">
                            <a:solidFill>
                              <a:srgbClr val="0F4BEB">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55942" y="1147314"/>
                            <a:ext cx="1284605" cy="275590"/>
                          </a:xfrm>
                          <a:prstGeom prst="rect">
                            <a:avLst/>
                          </a:prstGeom>
                          <a:noFill/>
                          <a:ln w="9525">
                            <a:noFill/>
                            <a:miter lim="800000"/>
                            <a:headEnd/>
                            <a:tailEnd/>
                          </a:ln>
                        </wps:spPr>
                        <wps:txbx>
                          <w:txbxContent>
                            <w:p w14:paraId="09088970" w14:textId="38E634F5" w:rsidR="00B62745" w:rsidRPr="00405516" w:rsidRDefault="00B62745">
                              <w:pPr>
                                <w:rPr>
                                  <w:b/>
                                  <w:bCs/>
                                  <w:color w:val="FFFFFF" w:themeColor="background1"/>
                                  <w:sz w:val="24"/>
                                  <w:szCs w:val="24"/>
                                </w:rPr>
                              </w:pPr>
                              <w:r w:rsidRPr="00405516">
                                <w:rPr>
                                  <w:b/>
                                  <w:bCs/>
                                  <w:color w:val="FFFFFF" w:themeColor="background1"/>
                                  <w:sz w:val="24"/>
                                  <w:szCs w:val="24"/>
                                </w:rPr>
                                <w:t>Misinformation</w:t>
                              </w:r>
                            </w:p>
                          </w:txbxContent>
                        </wps:txbx>
                        <wps:bodyPr rot="0" vert="horz" wrap="square" lIns="91440" tIns="45720" rIns="91440" bIns="45720" anchor="t" anchorCtr="0">
                          <a:noAutofit/>
                        </wps:bodyPr>
                      </wps:wsp>
                      <wps:wsp>
                        <wps:cNvPr id="8" name="Text Box 2"/>
                        <wps:cNvSpPr txBox="1">
                          <a:spLocks noChangeArrowheads="1"/>
                        </wps:cNvSpPr>
                        <wps:spPr bwMode="auto">
                          <a:xfrm>
                            <a:off x="3071930" y="1147314"/>
                            <a:ext cx="1284605" cy="275590"/>
                          </a:xfrm>
                          <a:prstGeom prst="rect">
                            <a:avLst/>
                          </a:prstGeom>
                          <a:noFill/>
                          <a:ln w="9525">
                            <a:noFill/>
                            <a:miter lim="800000"/>
                            <a:headEnd/>
                            <a:tailEnd/>
                          </a:ln>
                        </wps:spPr>
                        <wps:txbx>
                          <w:txbxContent>
                            <w:p w14:paraId="4730AE3B" w14:textId="3CDFBA27" w:rsidR="00B62745" w:rsidRPr="00405516" w:rsidRDefault="00B62745" w:rsidP="00B62745">
                              <w:pPr>
                                <w:rPr>
                                  <w:b/>
                                  <w:bCs/>
                                  <w:color w:val="FFFFFF" w:themeColor="background1"/>
                                  <w:sz w:val="24"/>
                                  <w:szCs w:val="24"/>
                                </w:rPr>
                              </w:pPr>
                              <w:proofErr w:type="spellStart"/>
                              <w:r w:rsidRPr="00405516">
                                <w:rPr>
                                  <w:b/>
                                  <w:bCs/>
                                  <w:color w:val="FFFFFF" w:themeColor="background1"/>
                                  <w:sz w:val="24"/>
                                  <w:szCs w:val="24"/>
                                </w:rPr>
                                <w:t>Malinformation</w:t>
                              </w:r>
                              <w:proofErr w:type="spellEnd"/>
                            </w:p>
                          </w:txbxContent>
                        </wps:txbx>
                        <wps:bodyPr rot="0" vert="horz" wrap="square" lIns="91440" tIns="45720" rIns="91440" bIns="45720" anchor="t" anchorCtr="0">
                          <a:noAutofit/>
                        </wps:bodyPr>
                      </wps:wsp>
                      <wps:wsp>
                        <wps:cNvPr id="12" name="Text Box 2"/>
                        <wps:cNvSpPr txBox="1">
                          <a:spLocks noChangeArrowheads="1"/>
                        </wps:cNvSpPr>
                        <wps:spPr bwMode="auto">
                          <a:xfrm>
                            <a:off x="1621693" y="1147043"/>
                            <a:ext cx="1320224" cy="276289"/>
                          </a:xfrm>
                          <a:prstGeom prst="rect">
                            <a:avLst/>
                          </a:prstGeom>
                          <a:noFill/>
                          <a:ln w="9525">
                            <a:noFill/>
                            <a:miter lim="800000"/>
                            <a:headEnd/>
                            <a:tailEnd/>
                          </a:ln>
                        </wps:spPr>
                        <wps:txbx>
                          <w:txbxContent>
                            <w:p w14:paraId="6DF53F0F" w14:textId="6C367B1E" w:rsidR="00B62745" w:rsidRPr="00405516" w:rsidRDefault="00B62745" w:rsidP="00B62745">
                              <w:pPr>
                                <w:rPr>
                                  <w:b/>
                                  <w:bCs/>
                                  <w:color w:val="FFFFFF" w:themeColor="background1"/>
                                  <w:sz w:val="24"/>
                                  <w:szCs w:val="24"/>
                                </w:rPr>
                              </w:pPr>
                              <w:r w:rsidRPr="00405516">
                                <w:rPr>
                                  <w:b/>
                                  <w:bCs/>
                                  <w:color w:val="FFFFFF" w:themeColor="background1"/>
                                  <w:sz w:val="24"/>
                                  <w:szCs w:val="24"/>
                                </w:rPr>
                                <w:t>Disinformation</w:t>
                              </w:r>
                            </w:p>
                          </w:txbxContent>
                        </wps:txbx>
                        <wps:bodyPr rot="0" vert="horz" wrap="square" lIns="91440" tIns="45720" rIns="91440" bIns="45720" anchor="t" anchorCtr="0">
                          <a:noAutofit/>
                        </wps:bodyPr>
                      </wps:wsp>
                      <wps:wsp>
                        <wps:cNvPr id="13" name="Text Box 2"/>
                        <wps:cNvSpPr txBox="1">
                          <a:spLocks noChangeArrowheads="1"/>
                        </wps:cNvSpPr>
                        <wps:spPr bwMode="auto">
                          <a:xfrm>
                            <a:off x="966159" y="232914"/>
                            <a:ext cx="793115" cy="275590"/>
                          </a:xfrm>
                          <a:prstGeom prst="rect">
                            <a:avLst/>
                          </a:prstGeom>
                          <a:noFill/>
                          <a:ln w="9525">
                            <a:noFill/>
                            <a:miter lim="800000"/>
                            <a:headEnd/>
                            <a:tailEnd/>
                          </a:ln>
                        </wps:spPr>
                        <wps:txbx>
                          <w:txbxContent>
                            <w:p w14:paraId="011E0BCA" w14:textId="71E8BB17" w:rsidR="00B62745" w:rsidRPr="00405516" w:rsidRDefault="00B62745" w:rsidP="00B62745">
                              <w:pPr>
                                <w:rPr>
                                  <w:b/>
                                  <w:bCs/>
                                  <w:color w:val="FFFFFF" w:themeColor="background1"/>
                                  <w:sz w:val="24"/>
                                  <w:szCs w:val="32"/>
                                </w:rPr>
                              </w:pPr>
                              <w:r w:rsidRPr="00405516">
                                <w:rPr>
                                  <w:b/>
                                  <w:bCs/>
                                  <w:color w:val="FFFFFF" w:themeColor="background1"/>
                                  <w:sz w:val="24"/>
                                  <w:szCs w:val="32"/>
                                </w:rPr>
                                <w:t>FALSE</w:t>
                              </w:r>
                            </w:p>
                          </w:txbxContent>
                        </wps:txbx>
                        <wps:bodyPr rot="0" vert="horz" wrap="square" lIns="91440" tIns="45720" rIns="91440" bIns="45720" anchor="t" anchorCtr="0">
                          <a:noAutofit/>
                        </wps:bodyPr>
                      </wps:wsp>
                      <wps:wsp>
                        <wps:cNvPr id="14" name="Text Box 2"/>
                        <wps:cNvSpPr txBox="1">
                          <a:spLocks noChangeArrowheads="1"/>
                        </wps:cNvSpPr>
                        <wps:spPr bwMode="auto">
                          <a:xfrm>
                            <a:off x="2570672" y="250166"/>
                            <a:ext cx="1250315" cy="275590"/>
                          </a:xfrm>
                          <a:prstGeom prst="rect">
                            <a:avLst/>
                          </a:prstGeom>
                          <a:noFill/>
                          <a:ln w="9525">
                            <a:noFill/>
                            <a:miter lim="800000"/>
                            <a:headEnd/>
                            <a:tailEnd/>
                          </a:ln>
                        </wps:spPr>
                        <wps:txbx>
                          <w:txbxContent>
                            <w:p w14:paraId="71F20F03" w14:textId="58F03525" w:rsidR="00B62745" w:rsidRPr="00405516" w:rsidRDefault="00B62745" w:rsidP="00B62745">
                              <w:pPr>
                                <w:rPr>
                                  <w:b/>
                                  <w:bCs/>
                                  <w:color w:val="FFFFFF" w:themeColor="background1"/>
                                  <w:sz w:val="24"/>
                                  <w:szCs w:val="32"/>
                                </w:rPr>
                              </w:pPr>
                              <w:r w:rsidRPr="00405516">
                                <w:rPr>
                                  <w:b/>
                                  <w:bCs/>
                                  <w:color w:val="FFFFFF" w:themeColor="background1"/>
                                  <w:sz w:val="24"/>
                                  <w:szCs w:val="32"/>
                                </w:rPr>
                                <w:t>INTENTIONAL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5D2E88" id="Group 17" o:spid="_x0000_s1027" style="position:absolute;margin-left:35.05pt;margin-top:5.9pt;width:359pt;height:202.35pt;z-index:251673600;mso-width-relative:margin;mso-height-relative:margin" coordsize="45029,2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RkfgQAAGEWAAAOAAAAZHJzL2Uyb0RvYy54bWzsWNtu4zYQfS/QfyD03likbpYRZ+E4cVAg&#10;3Q2QFPtM645KJEsykdOv75CU5NgJ0MW26Hrb5MHhnZzDM2dGPP+w61r0VEjVcLb08JnvoYJlPG9Y&#10;tfR+fdj8NPeQ0pTltOWsWHrPhfI+XPz4w3kvFgXhNW/zQiJYhKlFL5ZerbVYzGYqq4uOqjMuCgad&#10;JZcd1VCV1SyXtIfVu3ZGfD+e9VzmQvKsUApar1ynd2HXL8si05/KUhUatUsPzqbtr7S/W/M7uzin&#10;i0pSUTfZcAz6FafoaMNg02mpK6opepTNq6W6JpNc8VKfZbyb8bJsssLaANZg/8iaG8kfhbWlWvSV&#10;mGACaI9w+upls49PdxI1Odxd4iFGO7gjuy2COoDTi2oBY26kuBd3cmioXM3YuytlZ/6DJWhnYX2e&#10;YC12GmXQGEZRGviAfgZ9JIrTJMQO+KyG23k1L6uvp5k+SdNp5jyJfWJmzsaNZ+Z803F6ASRSe5zU&#10;38PpvqaisPArg8GAUzTCtGl5n9VU6gVac8aAalyiyIFmJ0yIqYUC8N6AC8dhEoexhwAYnJAocLCM&#10;wJF5FAVhOAKX+EGYHphPF0IqfVPwDpnC0ivhTGtzpulElpX06VZph9s4wZxG8bbJN03b2oqstutW&#10;oicKrrIOcAI3ZtppK2rqWkMf/oYDKDfc3sXBOi1DvblmGAwHp+DTZUs1FDsBLFOs8hBtKxCLTEu7&#10;wcHsYVm3n78JL68v3aCa5oVrjb7kFMbMK6pqN8VuMRy8ZcaqwmrDgIrhjbshU9ry/BnuWnInFkpk&#10;mwZWu6VK31EJ6gB2geLpT/Bj8F56fCh5qObyj7fazXggI/R6qAe1ASB+f6Sy8FD7MwOapjgMYVlt&#10;K2GUEKjIlz3blz3ssVtzuCUM2ioyWzTjdTsWS8m7zyCMK7MrdFGWwd4O8qGy1k4FQVqzYrWyw0CS&#10;BNW37F5kZnGDk8HxYfeZSjEwTAM5P/LRNYAeh9RyY81MxlePmpeN5d0eVyDM4KZGXP4Ff51k7U1/&#10;HUTuC/0VoHwtb9/OS+ckTfz0lZcGKRlV8t1L3/LGdy+1Hn1KXkr26ceDCX+XfIcsiY1GQPA1sRTp&#10;HTSPyqTELc9+U4hxCHisKlZS8r4uaA5yatMLqzPDVKc1RuPRtv+F55DlUFAn6zpHKQyGbCUkLiTj&#10;MAlweBiUMZmHsQ9ZgM1mEhg9hsRxoTHEDoopITNwPnoolSZsuyswIRiiM1242JlGJLITGJ96ukZD&#10;ntw23dKbm/g3ZK7G3muW28maNq0rQ3pkopwFYB/X9G67c5meMWivyFOk+2eD1BhzIPS74hBxTol1&#10;8HHiUt5vzLnATzCkyP9l0k3OfJRe/f9Ih0FcToJ1OCY4ToOJdX549P2BA+ITMn5/JDGZ/8Xnx8lJ&#10;nTXoXergwwvDPZ8E69I4xlFqSUcCAh8+h+E1SQOMv+foau15p5yhHCjHSVCORIkfJy6nI5GP4/iQ&#10;cxgag++adNOz0ylHV/tYB++Y9s1oeHM1D6Uv6zZr3b8MX/wJAAD//wMAUEsDBBQABgAIAAAAIQA/&#10;5Qcl3wAAAAkBAAAPAAAAZHJzL2Rvd25yZXYueG1sTI/BTsMwEETvSPyDtUjcqGOgbRTiVFUFnCok&#10;WiTEzY23SdR4HcVukv49y4ked2Y0+yZfTa4VA/ah8aRBzRIQSKW3DVUavvZvDymIEA1Z03pCDRcM&#10;sCpub3KTWT/SJw67WAkuoZAZDXWMXSZlKGt0Jsx8h8Te0ffORD77StrejFzuWvmYJAvpTEP8oTYd&#10;bmosT7uz0/A+mnH9pF6H7em4ufzs5x/fW4Va399N6xcQEaf4H4Y/fEaHgpkO/kw2iFbDMlGcZF3x&#10;AvaXacrCQcOzWsxBFrm8XlD8AgAA//8DAFBLAQItABQABgAIAAAAIQC2gziS/gAAAOEBAAATAAAA&#10;AAAAAAAAAAAAAAAAAABbQ29udGVudF9UeXBlc10ueG1sUEsBAi0AFAAGAAgAAAAhADj9If/WAAAA&#10;lAEAAAsAAAAAAAAAAAAAAAAALwEAAF9yZWxzLy5yZWxzUEsBAi0AFAAGAAgAAAAhABLFBGR+BAAA&#10;YRYAAA4AAAAAAAAAAAAAAAAALgIAAGRycy9lMm9Eb2MueG1sUEsBAi0AFAAGAAgAAAAhAD/lByXf&#10;AAAACQEAAA8AAAAAAAAAAAAAAAAA2AYAAGRycy9kb3ducmV2LnhtbFBLBQYAAAAABAAEAPMAAADk&#10;B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8" type="#_x0000_t120" style="position:absolute;left:16476;top:172;width:28553;height:25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I0xAAAANoAAAAPAAAAZHJzL2Rvd25yZXYueG1sRI9PawIx&#10;FMTvgt8hvEJvmm3rP1ajFKW04MVuFa+PzXN3dfOyJFHXfvqmIHgcZuY3zGzRmlpcyPnKsoKXfgKC&#10;OLe64kLB9uejNwHhA7LG2jIpuJGHxbzbmWGq7ZW/6ZKFQkQI+xQVlCE0qZQ+L8mg79uGOHoH6wyG&#10;KF0htcNrhJtavibJSBqsOC6U2NCypPyUnY0C6/x+8jbQ2Xn8uVsfR5vd73pVK/X81L5PQQRqwyN8&#10;b39pBUP4vxJvgJz/AQAA//8DAFBLAQItABQABgAIAAAAIQDb4fbL7gAAAIUBAAATAAAAAAAAAAAA&#10;AAAAAAAAAABbQ29udGVudF9UeXBlc10ueG1sUEsBAi0AFAAGAAgAAAAhAFr0LFu/AAAAFQEAAAsA&#10;AAAAAAAAAAAAAAAAHwEAAF9yZWxzLy5yZWxzUEsBAi0AFAAGAAgAAAAhAFqvYjTEAAAA2gAAAA8A&#10;AAAAAAAAAAAAAAAABwIAAGRycy9kb3ducmV2LnhtbFBLBQYAAAAAAwADALcAAAD4AgAAAAA=&#10;" fillcolor="#c31700" strokecolor="#0835ad" strokeweight="2pt">
                  <v:fill opacity="26214f"/>
                </v:shape>
                <v:shape id="Flowchart: Connector 7" o:spid="_x0000_s1029" type="#_x0000_t120" style="position:absolute;width:28553;height:25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ruFwwAAANoAAAAPAAAAZHJzL2Rvd25yZXYueG1sRI/disIw&#10;FITvBd8hHME7Td0Lf7pGEXFF2Qux7gMcmrNt1+akJFGrT78RBC+HmfmGmS9bU4srOV9ZVjAaJiCI&#10;c6srLhT8nL4GUxA+IGusLZOCO3lYLrqdOaba3vhI1ywUIkLYp6igDKFJpfR5SQb90DbE0fu1zmCI&#10;0hVSO7xFuKnlR5KMpcGK40KJDa1Lys/ZxSiYoR27LNu09WG9PZ2/939mdHwo1e+1q08QgdrwDr/a&#10;O61gAs8r8QbIxT8AAAD//wMAUEsBAi0AFAAGAAgAAAAhANvh9svuAAAAhQEAABMAAAAAAAAAAAAA&#10;AAAAAAAAAFtDb250ZW50X1R5cGVzXS54bWxQSwECLQAUAAYACAAAACEAWvQsW78AAAAVAQAACwAA&#10;AAAAAAAAAAAAAAAfAQAAX3JlbHMvLnJlbHNQSwECLQAUAAYACAAAACEAqTK7hcMAAADaAAAADwAA&#10;AAAAAAAAAAAAAAAHAgAAZHJzL2Rvd25yZXYueG1sUEsFBgAAAAADAAMAtwAAAPcCAAAAAA==&#10;" fillcolor="#829709" strokecolor="#0835ad" strokeweight="2pt">
                  <v:fill opacity="28784f"/>
                </v:shape>
                <v:shape id="Text Box 2" o:spid="_x0000_s1030" type="#_x0000_t202" style="position:absolute;left:1559;top:11473;width:1284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9088970" w14:textId="38E634F5" w:rsidR="00B62745" w:rsidRPr="00405516" w:rsidRDefault="00B62745">
                        <w:pPr>
                          <w:rPr>
                            <w:b/>
                            <w:bCs/>
                            <w:color w:val="FFFFFF" w:themeColor="background1"/>
                            <w:sz w:val="24"/>
                            <w:szCs w:val="24"/>
                          </w:rPr>
                        </w:pPr>
                        <w:r w:rsidRPr="00405516">
                          <w:rPr>
                            <w:b/>
                            <w:bCs/>
                            <w:color w:val="FFFFFF" w:themeColor="background1"/>
                            <w:sz w:val="24"/>
                            <w:szCs w:val="24"/>
                          </w:rPr>
                          <w:t>Misinformation</w:t>
                        </w:r>
                      </w:p>
                    </w:txbxContent>
                  </v:textbox>
                </v:shape>
                <v:shape id="Text Box 2" o:spid="_x0000_s1031" type="#_x0000_t202" style="position:absolute;left:30719;top:11473;width:1284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730AE3B" w14:textId="3CDFBA27" w:rsidR="00B62745" w:rsidRPr="00405516" w:rsidRDefault="00B62745" w:rsidP="00B62745">
                        <w:pPr>
                          <w:rPr>
                            <w:b/>
                            <w:bCs/>
                            <w:color w:val="FFFFFF" w:themeColor="background1"/>
                            <w:sz w:val="24"/>
                            <w:szCs w:val="24"/>
                          </w:rPr>
                        </w:pPr>
                        <w:proofErr w:type="spellStart"/>
                        <w:r w:rsidRPr="00405516">
                          <w:rPr>
                            <w:b/>
                            <w:bCs/>
                            <w:color w:val="FFFFFF" w:themeColor="background1"/>
                            <w:sz w:val="24"/>
                            <w:szCs w:val="24"/>
                          </w:rPr>
                          <w:t>Malinformation</w:t>
                        </w:r>
                        <w:proofErr w:type="spellEnd"/>
                      </w:p>
                    </w:txbxContent>
                  </v:textbox>
                </v:shape>
                <v:shape id="Text Box 2" o:spid="_x0000_s1032" type="#_x0000_t202" style="position:absolute;left:16216;top:11470;width:13203;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DF53F0F" w14:textId="6C367B1E" w:rsidR="00B62745" w:rsidRPr="00405516" w:rsidRDefault="00B62745" w:rsidP="00B62745">
                        <w:pPr>
                          <w:rPr>
                            <w:b/>
                            <w:bCs/>
                            <w:color w:val="FFFFFF" w:themeColor="background1"/>
                            <w:sz w:val="24"/>
                            <w:szCs w:val="24"/>
                          </w:rPr>
                        </w:pPr>
                        <w:r w:rsidRPr="00405516">
                          <w:rPr>
                            <w:b/>
                            <w:bCs/>
                            <w:color w:val="FFFFFF" w:themeColor="background1"/>
                            <w:sz w:val="24"/>
                            <w:szCs w:val="24"/>
                          </w:rPr>
                          <w:t>Disinformation</w:t>
                        </w:r>
                      </w:p>
                    </w:txbxContent>
                  </v:textbox>
                </v:shape>
                <v:shape id="Text Box 2" o:spid="_x0000_s1033" type="#_x0000_t202" style="position:absolute;left:9661;top:2329;width:7931;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11E0BCA" w14:textId="71E8BB17" w:rsidR="00B62745" w:rsidRPr="00405516" w:rsidRDefault="00B62745" w:rsidP="00B62745">
                        <w:pPr>
                          <w:rPr>
                            <w:b/>
                            <w:bCs/>
                            <w:color w:val="FFFFFF" w:themeColor="background1"/>
                            <w:sz w:val="24"/>
                            <w:szCs w:val="32"/>
                          </w:rPr>
                        </w:pPr>
                        <w:r w:rsidRPr="00405516">
                          <w:rPr>
                            <w:b/>
                            <w:bCs/>
                            <w:color w:val="FFFFFF" w:themeColor="background1"/>
                            <w:sz w:val="24"/>
                            <w:szCs w:val="32"/>
                          </w:rPr>
                          <w:t>FALSE</w:t>
                        </w:r>
                      </w:p>
                    </w:txbxContent>
                  </v:textbox>
                </v:shape>
                <v:shape id="Text Box 2" o:spid="_x0000_s1034" type="#_x0000_t202" style="position:absolute;left:25706;top:2501;width:1250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1F20F03" w14:textId="58F03525" w:rsidR="00B62745" w:rsidRPr="00405516" w:rsidRDefault="00B62745" w:rsidP="00B62745">
                        <w:pPr>
                          <w:rPr>
                            <w:b/>
                            <w:bCs/>
                            <w:color w:val="FFFFFF" w:themeColor="background1"/>
                            <w:sz w:val="24"/>
                            <w:szCs w:val="32"/>
                          </w:rPr>
                        </w:pPr>
                        <w:r w:rsidRPr="00405516">
                          <w:rPr>
                            <w:b/>
                            <w:bCs/>
                            <w:color w:val="FFFFFF" w:themeColor="background1"/>
                            <w:sz w:val="24"/>
                            <w:szCs w:val="32"/>
                          </w:rPr>
                          <w:t>INTENTIONAL</w:t>
                        </w:r>
                      </w:p>
                    </w:txbxContent>
                  </v:textbox>
                </v:shape>
              </v:group>
            </w:pict>
          </mc:Fallback>
        </mc:AlternateContent>
      </w:r>
    </w:p>
    <w:p w14:paraId="55A13D4F" w14:textId="03635B5E" w:rsidR="00862338" w:rsidRDefault="00862338" w:rsidP="00D90A7D">
      <w:pPr>
        <w:pStyle w:val="BodyText"/>
        <w:rPr>
          <w:rFonts w:eastAsia="Gotham Book"/>
        </w:rPr>
      </w:pPr>
    </w:p>
    <w:p w14:paraId="30D06F6E" w14:textId="015E2918" w:rsidR="00862338" w:rsidRDefault="00862338" w:rsidP="00D90A7D">
      <w:pPr>
        <w:pStyle w:val="BodyText"/>
        <w:rPr>
          <w:rFonts w:eastAsia="Gotham Book"/>
        </w:rPr>
      </w:pPr>
    </w:p>
    <w:p w14:paraId="53794FC2" w14:textId="3A2054CA" w:rsidR="00862338" w:rsidRDefault="00862338" w:rsidP="00D90A7D">
      <w:pPr>
        <w:pStyle w:val="BodyText"/>
        <w:rPr>
          <w:rFonts w:eastAsia="Gotham Book"/>
        </w:rPr>
      </w:pPr>
    </w:p>
    <w:p w14:paraId="404EF12C" w14:textId="155BE7A6" w:rsidR="00862338" w:rsidRDefault="00862338" w:rsidP="00D90A7D">
      <w:pPr>
        <w:pStyle w:val="BodyText"/>
        <w:rPr>
          <w:rFonts w:eastAsia="Gotham Book"/>
        </w:rPr>
      </w:pPr>
    </w:p>
    <w:p w14:paraId="66F0CD15" w14:textId="77777777" w:rsidR="00862338" w:rsidRPr="006C17B0" w:rsidRDefault="00862338" w:rsidP="00D90A7D">
      <w:pPr>
        <w:pStyle w:val="BodyText"/>
        <w:rPr>
          <w:rFonts w:eastAsia="Gotham Book"/>
        </w:rPr>
      </w:pPr>
    </w:p>
    <w:p w14:paraId="61AFF59D" w14:textId="77777777" w:rsidR="00F97ACA" w:rsidRDefault="00F97ACA" w:rsidP="00D90A7D">
      <w:pPr>
        <w:pStyle w:val="BodyText"/>
        <w:rPr>
          <w:rFonts w:eastAsia="Gotham Book"/>
        </w:rPr>
      </w:pPr>
    </w:p>
    <w:p w14:paraId="66776714" w14:textId="6F6C4175" w:rsidR="009A4951" w:rsidRDefault="009A4951" w:rsidP="002953DD">
      <w:pPr>
        <w:pStyle w:val="BodyText"/>
      </w:pPr>
    </w:p>
    <w:p w14:paraId="271809AF" w14:textId="603852DE" w:rsidR="00405516" w:rsidRDefault="00405516" w:rsidP="002953DD">
      <w:pPr>
        <w:pStyle w:val="BodyText"/>
      </w:pPr>
    </w:p>
    <w:p w14:paraId="6BCFF5BF" w14:textId="24139E31" w:rsidR="00405516" w:rsidRDefault="00405516" w:rsidP="002953DD">
      <w:pPr>
        <w:pStyle w:val="BodyText"/>
      </w:pPr>
    </w:p>
    <w:p w14:paraId="1FA896BE" w14:textId="21ABC1CE" w:rsidR="00405516" w:rsidRDefault="00405516" w:rsidP="002953DD">
      <w:pPr>
        <w:pStyle w:val="BodyText"/>
      </w:pPr>
    </w:p>
    <w:p w14:paraId="684D695E" w14:textId="77777777" w:rsidR="00E4386A" w:rsidRDefault="00E4386A" w:rsidP="002953DD">
      <w:pPr>
        <w:pStyle w:val="BodyText"/>
      </w:pPr>
    </w:p>
    <w:p w14:paraId="59CFB0E5" w14:textId="77777777" w:rsidR="00E4386A" w:rsidRDefault="00E4386A" w:rsidP="002953DD">
      <w:pPr>
        <w:pStyle w:val="BodyText"/>
      </w:pPr>
    </w:p>
    <w:p w14:paraId="5536B9F3" w14:textId="2F183950" w:rsidR="00405516" w:rsidRDefault="00045822" w:rsidP="002953DD">
      <w:pPr>
        <w:pStyle w:val="BodyText"/>
      </w:pPr>
      <w:r>
        <w:t xml:space="preserve">While it has </w:t>
      </w:r>
      <w:r w:rsidR="005E2C64">
        <w:t xml:space="preserve">both practical and conceptual </w:t>
      </w:r>
      <w:r>
        <w:t>limitations, t</w:t>
      </w:r>
      <w:r w:rsidR="00405516">
        <w:t xml:space="preserve">his framework </w:t>
      </w:r>
      <w:r>
        <w:t xml:space="preserve">provides </w:t>
      </w:r>
      <w:r w:rsidR="005E2C64">
        <w:t xml:space="preserve">relatively </w:t>
      </w:r>
      <w:r w:rsidR="00A16E2B">
        <w:t xml:space="preserve">clear </w:t>
      </w:r>
      <w:r>
        <w:t xml:space="preserve">terminology that </w:t>
      </w:r>
      <w:r w:rsidR="00405516">
        <w:t xml:space="preserve">has informed policy and regulatory developments around the world and in many cases </w:t>
      </w:r>
      <w:r w:rsidR="005E2C64">
        <w:t>entered</w:t>
      </w:r>
      <w:r w:rsidR="00405516">
        <w:t xml:space="preserve"> media and </w:t>
      </w:r>
      <w:r w:rsidR="005E2C64">
        <w:t>popular</w:t>
      </w:r>
      <w:r w:rsidR="00405516">
        <w:t xml:space="preserve"> discourse.</w:t>
      </w:r>
    </w:p>
    <w:p w14:paraId="03C410DF" w14:textId="7B3DF5BF" w:rsidR="00A16E2B" w:rsidRDefault="00A16E2B" w:rsidP="006A5663">
      <w:pPr>
        <w:pStyle w:val="Heading3"/>
        <w:rPr>
          <w:rFonts w:eastAsia="Gotham Book"/>
        </w:rPr>
      </w:pPr>
      <w:r>
        <w:rPr>
          <w:rFonts w:eastAsia="Gotham Book"/>
        </w:rPr>
        <w:t>Regulatory approaches and trends</w:t>
      </w:r>
    </w:p>
    <w:p w14:paraId="130995CD" w14:textId="035F274A" w:rsidR="00A16E2B" w:rsidRDefault="000329E7" w:rsidP="00A16E2B">
      <w:pPr>
        <w:pStyle w:val="BodyText"/>
        <w:rPr>
          <w:rFonts w:eastAsia="Gotham Book"/>
        </w:rPr>
      </w:pPr>
      <w:r>
        <w:rPr>
          <w:rFonts w:eastAsia="Gotham Book"/>
        </w:rPr>
        <w:t>Regulation of information disorder</w:t>
      </w:r>
      <w:r w:rsidR="00C16614">
        <w:rPr>
          <w:rFonts w:eastAsia="Gotham Book"/>
        </w:rPr>
        <w:t>, like all government</w:t>
      </w:r>
      <w:r>
        <w:rPr>
          <w:rFonts w:eastAsia="Gotham Book"/>
        </w:rPr>
        <w:t xml:space="preserve"> </w:t>
      </w:r>
      <w:r w:rsidR="00C16614">
        <w:rPr>
          <w:rFonts w:eastAsia="Gotham Book"/>
        </w:rPr>
        <w:t xml:space="preserve">oversight of media and </w:t>
      </w:r>
      <w:r w:rsidR="00346A54">
        <w:rPr>
          <w:rFonts w:eastAsia="Gotham Book"/>
        </w:rPr>
        <w:t>p</w:t>
      </w:r>
      <w:r w:rsidR="00C16614">
        <w:rPr>
          <w:rFonts w:eastAsia="Gotham Book"/>
        </w:rPr>
        <w:t xml:space="preserve">ublic speech, is </w:t>
      </w:r>
      <w:r>
        <w:rPr>
          <w:rFonts w:eastAsia="Gotham Book"/>
        </w:rPr>
        <w:t>a politically fraught area of policy</w:t>
      </w:r>
      <w:r w:rsidR="00C16614">
        <w:rPr>
          <w:rFonts w:eastAsia="Gotham Book"/>
        </w:rPr>
        <w:t>. In democratic countries, the balance tends towards a hands-off approach</w:t>
      </w:r>
      <w:r w:rsidR="009E62CA">
        <w:rPr>
          <w:rFonts w:eastAsia="Gotham Book"/>
        </w:rPr>
        <w:t xml:space="preserve"> </w:t>
      </w:r>
      <w:r w:rsidR="00C16614">
        <w:rPr>
          <w:rFonts w:eastAsia="Gotham Book"/>
        </w:rPr>
        <w:t>for fear of encroaching on foundational principles of media freedom a</w:t>
      </w:r>
      <w:r w:rsidR="009E62CA">
        <w:rPr>
          <w:rFonts w:eastAsia="Gotham Book"/>
        </w:rPr>
        <w:t>nd freedom of expression. Self-regulatory and co-regulatory approaches are often favoured over black-letter law or direct regulation.</w:t>
      </w:r>
      <w:r w:rsidR="00A26445">
        <w:rPr>
          <w:rFonts w:eastAsia="Gotham Book"/>
        </w:rPr>
        <w:t xml:space="preserve"> In most jurisdictions, </w:t>
      </w:r>
      <w:r w:rsidR="004F0268">
        <w:rPr>
          <w:rFonts w:eastAsia="Gotham Book"/>
        </w:rPr>
        <w:t>it is not illegal</w:t>
      </w:r>
      <w:r w:rsidR="00AA220C">
        <w:rPr>
          <w:rFonts w:eastAsia="Gotham Book"/>
        </w:rPr>
        <w:t xml:space="preserve"> merely</w:t>
      </w:r>
      <w:r w:rsidR="004F0268">
        <w:rPr>
          <w:rFonts w:eastAsia="Gotham Book"/>
        </w:rPr>
        <w:t xml:space="preserve"> to propagate false information.</w:t>
      </w:r>
    </w:p>
    <w:p w14:paraId="27BB3E29" w14:textId="4F6859DD" w:rsidR="006A5663" w:rsidRDefault="006A5663" w:rsidP="00A16E2B">
      <w:pPr>
        <w:pStyle w:val="BodyText"/>
        <w:rPr>
          <w:rFonts w:eastAsia="Gotham Book"/>
        </w:rPr>
      </w:pPr>
      <w:r>
        <w:rPr>
          <w:rFonts w:eastAsia="Gotham Book"/>
        </w:rPr>
        <w:t xml:space="preserve">For the same reason, </w:t>
      </w:r>
      <w:r w:rsidR="00F912C1">
        <w:rPr>
          <w:rFonts w:eastAsia="Gotham Book"/>
        </w:rPr>
        <w:t xml:space="preserve">the recent moves towards digital-platform </w:t>
      </w:r>
      <w:r w:rsidR="0054757F">
        <w:rPr>
          <w:rFonts w:eastAsia="Gotham Book"/>
        </w:rPr>
        <w:t xml:space="preserve">regulation </w:t>
      </w:r>
      <w:r w:rsidR="00A26445">
        <w:rPr>
          <w:rFonts w:eastAsia="Gotham Book"/>
        </w:rPr>
        <w:t xml:space="preserve">in this area </w:t>
      </w:r>
      <w:r w:rsidR="00F912C1">
        <w:rPr>
          <w:rFonts w:eastAsia="Gotham Book"/>
        </w:rPr>
        <w:t>have</w:t>
      </w:r>
      <w:r w:rsidR="0054757F">
        <w:rPr>
          <w:rFonts w:eastAsia="Gotham Book"/>
        </w:rPr>
        <w:t xml:space="preserve"> </w:t>
      </w:r>
      <w:r w:rsidR="00FF077F">
        <w:rPr>
          <w:rFonts w:eastAsia="Gotham Book"/>
        </w:rPr>
        <w:t xml:space="preserve">been </w:t>
      </w:r>
      <w:r w:rsidR="00F912C1">
        <w:rPr>
          <w:rFonts w:eastAsia="Gotham Book"/>
        </w:rPr>
        <w:t xml:space="preserve">largely </w:t>
      </w:r>
      <w:r w:rsidR="0054757F">
        <w:rPr>
          <w:rFonts w:eastAsia="Gotham Book"/>
        </w:rPr>
        <w:t>aim</w:t>
      </w:r>
      <w:r w:rsidR="00F912C1">
        <w:rPr>
          <w:rFonts w:eastAsia="Gotham Book"/>
        </w:rPr>
        <w:t>ed</w:t>
      </w:r>
      <w:r w:rsidR="0054757F">
        <w:rPr>
          <w:rFonts w:eastAsia="Gotham Book"/>
        </w:rPr>
        <w:t xml:space="preserve"> at increas</w:t>
      </w:r>
      <w:r w:rsidR="00F912C1">
        <w:rPr>
          <w:rFonts w:eastAsia="Gotham Book"/>
        </w:rPr>
        <w:t>ing</w:t>
      </w:r>
      <w:r w:rsidR="0054757F">
        <w:rPr>
          <w:rFonts w:eastAsia="Gotham Book"/>
        </w:rPr>
        <w:t xml:space="preserve"> industry accountability and transparency</w:t>
      </w:r>
      <w:r w:rsidR="00B60C30">
        <w:rPr>
          <w:rFonts w:eastAsia="Gotham Book"/>
        </w:rPr>
        <w:t xml:space="preserve"> </w:t>
      </w:r>
      <w:r w:rsidR="00985F5E">
        <w:rPr>
          <w:rFonts w:eastAsia="Gotham Book"/>
        </w:rPr>
        <w:t xml:space="preserve">through industry codes of conduct </w:t>
      </w:r>
      <w:r w:rsidR="00B60C30">
        <w:rPr>
          <w:rFonts w:eastAsia="Gotham Book"/>
        </w:rPr>
        <w:t xml:space="preserve">rather than setting out explicit rules </w:t>
      </w:r>
      <w:r w:rsidR="00A26445">
        <w:rPr>
          <w:rFonts w:eastAsia="Gotham Book"/>
        </w:rPr>
        <w:t xml:space="preserve">relating to, for example, content moderation. </w:t>
      </w:r>
      <w:r w:rsidR="004F0268">
        <w:rPr>
          <w:rFonts w:eastAsia="Gotham Book"/>
        </w:rPr>
        <w:t xml:space="preserve">Where there are restrictions or positive obligations on platform conduct, developing regulation has focused on the question of harm rather than of truth or falsity. </w:t>
      </w:r>
    </w:p>
    <w:p w14:paraId="1DB5F311" w14:textId="3041A662" w:rsidR="000439B1" w:rsidRDefault="00CA3C42" w:rsidP="00A16E2B">
      <w:pPr>
        <w:pStyle w:val="BodyText"/>
        <w:rPr>
          <w:rFonts w:eastAsia="Gotham Book"/>
        </w:rPr>
      </w:pPr>
      <w:r>
        <w:rPr>
          <w:rFonts w:eastAsia="Gotham Book"/>
        </w:rPr>
        <w:t xml:space="preserve">The importance of balancing liberal democratic principles </w:t>
      </w:r>
      <w:r w:rsidR="001420B5">
        <w:rPr>
          <w:rFonts w:eastAsia="Gotham Book"/>
        </w:rPr>
        <w:t xml:space="preserve">with objectives of reducing </w:t>
      </w:r>
      <w:r w:rsidR="00E4386A">
        <w:rPr>
          <w:rFonts w:eastAsia="Gotham Book"/>
        </w:rPr>
        <w:t>harms arising from misinformation and disinformation</w:t>
      </w:r>
      <w:r w:rsidR="00306AC1">
        <w:rPr>
          <w:rFonts w:eastAsia="Gotham Book"/>
        </w:rPr>
        <w:t xml:space="preserve"> is in large part what makes information disorder what is sometimes called a ‘wicked’ problem. A wicked problem is one whose complexity is such that it </w:t>
      </w:r>
      <w:r w:rsidR="00935383">
        <w:rPr>
          <w:rFonts w:eastAsia="Gotham Book"/>
        </w:rPr>
        <w:t>cannot be solved but only mitigated</w:t>
      </w:r>
      <w:r w:rsidR="00306AC1">
        <w:rPr>
          <w:rFonts w:eastAsia="Gotham Book"/>
        </w:rPr>
        <w:t xml:space="preserve">, with </w:t>
      </w:r>
      <w:r w:rsidR="00935383">
        <w:rPr>
          <w:rFonts w:eastAsia="Gotham Book"/>
        </w:rPr>
        <w:t>all attempts at a solution being either politically or socially untenable or merely producing further problems to solve.</w:t>
      </w:r>
      <w:r w:rsidR="00537137">
        <w:rPr>
          <w:rStyle w:val="FootnoteReference"/>
          <w:rFonts w:eastAsia="Gotham Book"/>
        </w:rPr>
        <w:footnoteReference w:id="3"/>
      </w:r>
      <w:r w:rsidR="005524ED">
        <w:rPr>
          <w:rFonts w:eastAsia="Gotham Book"/>
        </w:rPr>
        <w:t xml:space="preserve"> Even leaving these principles aside barely reduces the </w:t>
      </w:r>
      <w:r w:rsidR="00F64C8A">
        <w:rPr>
          <w:rFonts w:eastAsia="Gotham Book"/>
        </w:rPr>
        <w:t>complexity</w:t>
      </w:r>
      <w:r w:rsidR="005524ED">
        <w:rPr>
          <w:rFonts w:eastAsia="Gotham Book"/>
        </w:rPr>
        <w:t xml:space="preserve"> of the problem. This can be seen </w:t>
      </w:r>
      <w:r w:rsidR="00F64C8A">
        <w:rPr>
          <w:rFonts w:eastAsia="Gotham Book"/>
        </w:rPr>
        <w:t xml:space="preserve">in the case of archetypically illegal content such as child pornography, </w:t>
      </w:r>
      <w:r w:rsidR="000439B1">
        <w:rPr>
          <w:rFonts w:eastAsia="Gotham Book"/>
        </w:rPr>
        <w:t>which remains intractable despite</w:t>
      </w:r>
      <w:r w:rsidR="00F64C8A">
        <w:rPr>
          <w:rFonts w:eastAsia="Gotham Book"/>
        </w:rPr>
        <w:t xml:space="preserve"> concerns for personal liberty play</w:t>
      </w:r>
      <w:r w:rsidR="000439B1">
        <w:rPr>
          <w:rFonts w:eastAsia="Gotham Book"/>
        </w:rPr>
        <w:t>ing</w:t>
      </w:r>
      <w:r w:rsidR="00F64C8A">
        <w:rPr>
          <w:rFonts w:eastAsia="Gotham Book"/>
        </w:rPr>
        <w:t xml:space="preserve"> no role</w:t>
      </w:r>
      <w:r w:rsidR="000439B1">
        <w:rPr>
          <w:rFonts w:eastAsia="Gotham Book"/>
        </w:rPr>
        <w:t>.</w:t>
      </w:r>
    </w:p>
    <w:p w14:paraId="25CA459D" w14:textId="610A9314" w:rsidR="00E4386A" w:rsidRDefault="000439B1" w:rsidP="003167DF">
      <w:pPr>
        <w:pStyle w:val="BodyText"/>
        <w:rPr>
          <w:rFonts w:asciiTheme="majorHAnsi" w:eastAsia="Gotham Book" w:hAnsiTheme="majorHAnsi" w:cs="Arial"/>
          <w:bCs/>
          <w:iCs/>
          <w:color w:val="0F4BEB" w:themeColor="accent1"/>
          <w:sz w:val="30"/>
          <w:szCs w:val="28"/>
        </w:rPr>
      </w:pPr>
      <w:r>
        <w:rPr>
          <w:rFonts w:eastAsia="Gotham Book"/>
        </w:rPr>
        <w:t xml:space="preserve">In some jurisdictions, where </w:t>
      </w:r>
      <w:r w:rsidR="004B34CC">
        <w:rPr>
          <w:rFonts w:eastAsia="Gotham Book"/>
        </w:rPr>
        <w:t xml:space="preserve">liberal </w:t>
      </w:r>
      <w:r>
        <w:rPr>
          <w:rFonts w:eastAsia="Gotham Book"/>
        </w:rPr>
        <w:t>democratic institutions are weaker,</w:t>
      </w:r>
      <w:r w:rsidR="00F64C8A">
        <w:rPr>
          <w:rFonts w:eastAsia="Gotham Book"/>
        </w:rPr>
        <w:t xml:space="preserve"> </w:t>
      </w:r>
      <w:r w:rsidR="004B34CC">
        <w:rPr>
          <w:rFonts w:eastAsia="Gotham Book"/>
        </w:rPr>
        <w:t xml:space="preserve">there is less compunction about </w:t>
      </w:r>
      <w:r w:rsidR="00346A54">
        <w:rPr>
          <w:rFonts w:eastAsia="Gotham Book"/>
        </w:rPr>
        <w:t>limiting</w:t>
      </w:r>
      <w:r w:rsidR="004B34CC">
        <w:rPr>
          <w:rFonts w:eastAsia="Gotham Book"/>
        </w:rPr>
        <w:t xml:space="preserve"> citizen speech or </w:t>
      </w:r>
      <w:r w:rsidR="00346A54">
        <w:rPr>
          <w:rFonts w:eastAsia="Gotham Book"/>
        </w:rPr>
        <w:t xml:space="preserve">press </w:t>
      </w:r>
      <w:r w:rsidR="004B34CC">
        <w:rPr>
          <w:rFonts w:eastAsia="Gotham Book"/>
        </w:rPr>
        <w:t>freedom. This can make</w:t>
      </w:r>
      <w:r w:rsidR="00A800D9">
        <w:rPr>
          <w:rFonts w:eastAsia="Gotham Book"/>
        </w:rPr>
        <w:t xml:space="preserve"> </w:t>
      </w:r>
      <w:r w:rsidR="00212135">
        <w:rPr>
          <w:rFonts w:eastAsia="Gotham Book"/>
        </w:rPr>
        <w:t xml:space="preserve">room for direct regulatory approaches. At the same time, </w:t>
      </w:r>
      <w:r w:rsidR="00985F5E">
        <w:rPr>
          <w:rFonts w:eastAsia="Gotham Book"/>
        </w:rPr>
        <w:t>jurisdictional issues</w:t>
      </w:r>
      <w:r w:rsidR="00212135">
        <w:rPr>
          <w:rFonts w:eastAsia="Gotham Book"/>
        </w:rPr>
        <w:t xml:space="preserve"> aris</w:t>
      </w:r>
      <w:r w:rsidR="00985F5E">
        <w:rPr>
          <w:rFonts w:eastAsia="Gotham Book"/>
        </w:rPr>
        <w:t xml:space="preserve">e with digital platforms </w:t>
      </w:r>
      <w:r w:rsidR="00346A54">
        <w:rPr>
          <w:rFonts w:eastAsia="Gotham Book"/>
        </w:rPr>
        <w:t xml:space="preserve">that are </w:t>
      </w:r>
      <w:r w:rsidR="00985F5E">
        <w:rPr>
          <w:rFonts w:eastAsia="Gotham Book"/>
        </w:rPr>
        <w:t xml:space="preserve">typically </w:t>
      </w:r>
      <w:r w:rsidR="00EF1EF1">
        <w:rPr>
          <w:rFonts w:eastAsia="Gotham Book"/>
        </w:rPr>
        <w:t>run by</w:t>
      </w:r>
      <w:r w:rsidR="00985F5E">
        <w:rPr>
          <w:rFonts w:eastAsia="Gotham Book"/>
        </w:rPr>
        <w:t xml:space="preserve"> multinational companies</w:t>
      </w:r>
      <w:r w:rsidR="00EF1EF1">
        <w:rPr>
          <w:rFonts w:eastAsia="Gotham Book"/>
        </w:rPr>
        <w:t>, and perceptions of arbitrariness over the enforcement of speech regulation can undermine</w:t>
      </w:r>
      <w:r w:rsidR="003167DF">
        <w:rPr>
          <w:rFonts w:eastAsia="Gotham Book"/>
        </w:rPr>
        <w:t xml:space="preserve"> trust in regulatory </w:t>
      </w:r>
      <w:r w:rsidR="00346A54">
        <w:rPr>
          <w:rFonts w:eastAsia="Gotham Book"/>
        </w:rPr>
        <w:t>authority</w:t>
      </w:r>
      <w:r w:rsidR="003167DF">
        <w:rPr>
          <w:rFonts w:eastAsia="Gotham Book"/>
        </w:rPr>
        <w:t>.</w:t>
      </w:r>
      <w:r w:rsidR="00E4386A">
        <w:rPr>
          <w:rFonts w:eastAsia="Gotham Book"/>
        </w:rPr>
        <w:br w:type="page"/>
      </w:r>
    </w:p>
    <w:p w14:paraId="7AA3ADAE" w14:textId="53C07DF7" w:rsidR="004B5893" w:rsidRDefault="00954EDD" w:rsidP="004B5893">
      <w:pPr>
        <w:pStyle w:val="Heading2"/>
        <w:rPr>
          <w:rFonts w:eastAsia="Gotham Book"/>
        </w:rPr>
      </w:pPr>
      <w:r>
        <w:rPr>
          <w:rFonts w:eastAsia="Gotham Book"/>
        </w:rPr>
        <w:lastRenderedPageBreak/>
        <w:t>Comparative regulation</w:t>
      </w:r>
    </w:p>
    <w:p w14:paraId="311A2162" w14:textId="676A7CB6" w:rsidR="00F54B70" w:rsidRPr="00954EDD" w:rsidRDefault="00954EDD" w:rsidP="00954EDD">
      <w:pPr>
        <w:pStyle w:val="Heading3"/>
      </w:pPr>
      <w:r>
        <w:t>The European Union</w:t>
      </w:r>
    </w:p>
    <w:p w14:paraId="0BBB0243" w14:textId="77777777" w:rsidR="00724654" w:rsidRPr="007041FD" w:rsidRDefault="00724654" w:rsidP="00724654">
      <w:pPr>
        <w:pStyle w:val="Heading4"/>
      </w:pPr>
      <w:r>
        <w:rPr>
          <w:lang w:val="en-US"/>
        </w:rPr>
        <w:t>Background</w:t>
      </w:r>
    </w:p>
    <w:p w14:paraId="0FCC3324" w14:textId="7A36C9A5" w:rsidR="00724654" w:rsidRDefault="00724654" w:rsidP="00724654">
      <w:pPr>
        <w:pStyle w:val="BodyText"/>
      </w:pPr>
      <w:r>
        <w:t xml:space="preserve">The voluntary, self-regulatory EU Code of Practice on Disinformation was released in October 2018 with major platforms Google, Facebook, Twitter and Mozilla signing up, and later, Microsoft and </w:t>
      </w:r>
      <w:proofErr w:type="spellStart"/>
      <w:r>
        <w:t>Tiktok</w:t>
      </w:r>
      <w:proofErr w:type="spellEnd"/>
      <w:r>
        <w:t>. Several advertising industry groups also joined.</w:t>
      </w:r>
    </w:p>
    <w:p w14:paraId="54A1EEE1" w14:textId="5072A06B" w:rsidR="00724654" w:rsidRDefault="00724654" w:rsidP="00724654">
      <w:pPr>
        <w:pStyle w:val="BodyText"/>
      </w:pPr>
      <w:r>
        <w:t xml:space="preserve">The 2018 code was restricted to disinformation, with misinformation excluded ostensibly to protect freedom of expression. </w:t>
      </w:r>
    </w:p>
    <w:p w14:paraId="6356191C" w14:textId="2EBC5888" w:rsidR="00724654" w:rsidRDefault="00C96C2C" w:rsidP="00C96C2C">
      <w:pPr>
        <w:pStyle w:val="BodyText"/>
      </w:pPr>
      <w:r>
        <w:t>After a le</w:t>
      </w:r>
      <w:r w:rsidR="0024354D">
        <w:t>n</w:t>
      </w:r>
      <w:r>
        <w:t xml:space="preserve">gthy consultation, a revised code was released in July 2022 to address substantial criticisms of the 2018 code. These included </w:t>
      </w:r>
      <w:r w:rsidR="00724654">
        <w:t>that it lacked concrete commitments and mechanisms for measuring signatory performance against the code. This was borne out by signatories’ transparency reports, which were criticised for being very high level and lacking in performance data</w:t>
      </w:r>
      <w:r>
        <w:t>.</w:t>
      </w:r>
      <w:r w:rsidR="00C7629E">
        <w:rPr>
          <w:rStyle w:val="FootnoteReference"/>
        </w:rPr>
        <w:footnoteReference w:id="4"/>
      </w:r>
      <w:r w:rsidR="00724654">
        <w:t xml:space="preserve"> </w:t>
      </w:r>
    </w:p>
    <w:p w14:paraId="1FC2437C" w14:textId="790E2C2C" w:rsidR="004B5893" w:rsidRDefault="00724654" w:rsidP="00724654">
      <w:pPr>
        <w:pStyle w:val="BodyText"/>
      </w:pPr>
      <w:r>
        <w:t>While the 2018 code fell short of the European Commission’s (EC) ambitions, it was a first step towards industry regulation to address online information disorder and provided a model for subsequent efforts including the Australian code.</w:t>
      </w:r>
    </w:p>
    <w:p w14:paraId="3B7DA89F" w14:textId="77777777" w:rsidR="00897C58" w:rsidRDefault="00897C58" w:rsidP="00897C58">
      <w:pPr>
        <w:pStyle w:val="Heading4"/>
      </w:pPr>
      <w:r>
        <w:t>Shift from self-regulation to co-regulation</w:t>
      </w:r>
    </w:p>
    <w:p w14:paraId="598ABE38" w14:textId="1686EFFF" w:rsidR="00BE036D" w:rsidRDefault="00897C58" w:rsidP="00BE036D">
      <w:pPr>
        <w:pStyle w:val="BodyText"/>
      </w:pPr>
      <w:r w:rsidRPr="00BE036D">
        <w:t>In December 2020 the European Commission released its European Democracy Action Plan, outlining an intention to move towards a co- regulatory framework to address disinformation</w:t>
      </w:r>
      <w:r w:rsidR="000763B9">
        <w:t>.</w:t>
      </w:r>
      <w:r w:rsidR="000763B9">
        <w:rPr>
          <w:rStyle w:val="FootnoteReference"/>
        </w:rPr>
        <w:footnoteReference w:id="5"/>
      </w:r>
      <w:r w:rsidRPr="00BE036D">
        <w:t xml:space="preserve"> </w:t>
      </w:r>
    </w:p>
    <w:p w14:paraId="5A9F3EA2" w14:textId="51553E9A" w:rsidR="00897C58" w:rsidRDefault="00897C58" w:rsidP="00BE036D">
      <w:pPr>
        <w:pStyle w:val="BodyText"/>
      </w:pPr>
      <w:r w:rsidRPr="00BE036D">
        <w:t>The Digital Services Act</w:t>
      </w:r>
      <w:r w:rsidR="000763B9">
        <w:t xml:space="preserve">, </w:t>
      </w:r>
      <w:r w:rsidRPr="00BE036D">
        <w:t>which came into force on 16 November 2022, includes a co-regulatory scheme for ‘very large’ online platforms (those reaching more than 10% of the EU population—i.e. currently around 45 million people) that would enforce compliance with industry codes of conduct, including the EU disinformation code. The scheme would require annual independent audits and allow fines to be imposed for breaches.</w:t>
      </w:r>
    </w:p>
    <w:p w14:paraId="33101D5B" w14:textId="4E4F6E04" w:rsidR="00D53C80" w:rsidRDefault="00D53C80" w:rsidP="00D53C80">
      <w:pPr>
        <w:pStyle w:val="BodyText"/>
      </w:pPr>
      <w:r>
        <w:rPr>
          <w:rFonts w:ascii="Helvetica" w:hAnsi="Helvetica" w:cs="Helvetica"/>
          <w:color w:val="141413"/>
          <w:szCs w:val="18"/>
          <w:lang w:val="en-US"/>
        </w:rPr>
        <w:t>As part of the Democracy Action Plan the EU has also proposed legislation to improve the transparency of political advertising on digital platforms. As well as requiring greater transparency, the proposal would limit the use of personal data to target political advertising at EU citizens.</w:t>
      </w:r>
    </w:p>
    <w:p w14:paraId="46567AA5" w14:textId="1C7549DC" w:rsidR="00405516" w:rsidRDefault="00897C58" w:rsidP="00897C58">
      <w:pPr>
        <w:pStyle w:val="Heading4"/>
      </w:pPr>
      <w:r>
        <w:t>The revised code</w:t>
      </w:r>
    </w:p>
    <w:p w14:paraId="41E90AC3" w14:textId="4A42AA3D" w:rsidR="00E5223A" w:rsidRDefault="00E5223A" w:rsidP="00BE036D">
      <w:pPr>
        <w:pStyle w:val="BodyText"/>
      </w:pPr>
      <w:r w:rsidRPr="00BE036D">
        <w:t>Industry released a revised code on 16 June 2022</w:t>
      </w:r>
      <w:r w:rsidR="00B64BBA">
        <w:t>.</w:t>
      </w:r>
      <w:r w:rsidRPr="00BE036D">
        <w:t xml:space="preserve"> The strengthened code sets much higher standards for comprehensiveness, accountability and transparency than the 2018 code. The scope of the code</w:t>
      </w:r>
      <w:r w:rsidR="00D53C80">
        <w:t xml:space="preserve"> </w:t>
      </w:r>
      <w:r w:rsidRPr="00BE036D">
        <w:t>is broader, covering misinformation, information influence operations and foreign interference in the information space as elements of ‘disinformation’, as well as disinformation more narrowly conceived.</w:t>
      </w:r>
    </w:p>
    <w:p w14:paraId="6F03B7FC" w14:textId="77777777" w:rsidR="00D53C80" w:rsidRDefault="00D53C80" w:rsidP="00D53C80">
      <w:pPr>
        <w:pStyle w:val="BodyText"/>
      </w:pPr>
      <w:r>
        <w:t>The code included commitments to introduce measures to address financial incentives to spread disinformation, increasing transparency of political advertising, and developing technological means to prioritise authentic and authoritative information.</w:t>
      </w:r>
    </w:p>
    <w:p w14:paraId="7A148D47" w14:textId="4B29CB55" w:rsidR="00E5223A" w:rsidRDefault="00D53C80" w:rsidP="00BE036D">
      <w:pPr>
        <w:pStyle w:val="BodyText"/>
      </w:pPr>
      <w:r>
        <w:t>Transparency</w:t>
      </w:r>
      <w:r w:rsidR="00E5223A" w:rsidRPr="00BE036D">
        <w:t xml:space="preserve"> commitments are much more detailed than in</w:t>
      </w:r>
      <w:r>
        <w:t xml:space="preserve"> </w:t>
      </w:r>
      <w:r w:rsidR="00E5223A" w:rsidRPr="00BE036D">
        <w:t>the 2018 code, with each commitment specifying qualitative and, where appropriate, quantitative KPIs to improve consistency and comparability of platform reporting.</w:t>
      </w:r>
    </w:p>
    <w:p w14:paraId="1D6A54E5" w14:textId="531003B0" w:rsidR="00BF17F8" w:rsidRDefault="00BF17F8" w:rsidP="00BF17F8">
      <w:pPr>
        <w:pStyle w:val="Heading3"/>
      </w:pPr>
      <w:r>
        <w:lastRenderedPageBreak/>
        <w:t>The United Kingdom</w:t>
      </w:r>
    </w:p>
    <w:p w14:paraId="11C32ECE" w14:textId="3E06ED62" w:rsidR="009C4D27" w:rsidRDefault="00BF17F8" w:rsidP="00DA51C9">
      <w:pPr>
        <w:pStyle w:val="BodyText"/>
      </w:pPr>
      <w:r>
        <w:rPr>
          <w:rFonts w:ascii="Helvetica" w:hAnsi="Helvetica" w:cs="Helvetica"/>
          <w:color w:val="141413"/>
          <w:szCs w:val="18"/>
          <w:lang w:val="en-US"/>
        </w:rPr>
        <w:t>A bill to address online harms is currently under consideration by the UK parliament. This follows the 2019 release of the Online Harms White Paper. The Online Safety Bill takes a different approach to the self-regulatory schemes introduced in the EU and</w:t>
      </w:r>
      <w:r w:rsidR="009C4D27">
        <w:rPr>
          <w:rFonts w:ascii="Helvetica" w:hAnsi="Helvetica" w:cs="Helvetica"/>
          <w:color w:val="141413"/>
          <w:szCs w:val="18"/>
          <w:lang w:val="en-US"/>
        </w:rPr>
        <w:t xml:space="preserve"> </w:t>
      </w:r>
      <w:r w:rsidR="009C4D27">
        <w:t>Australia, establishing a series of statutory duties of care for online platforms towards their users. These cover the gamut of online harms. Those particularly relevant to information disorder include duties</w:t>
      </w:r>
      <w:r w:rsidR="006346D6">
        <w:t xml:space="preserve"> </w:t>
      </w:r>
      <w:r w:rsidR="009C4D27">
        <w:t>to perform risk assessments relating to service design and operation</w:t>
      </w:r>
      <w:r w:rsidR="00DA51C9">
        <w:t xml:space="preserve">, </w:t>
      </w:r>
      <w:r w:rsidR="009C4D27">
        <w:t>to include features to increase user control over harmful content</w:t>
      </w:r>
      <w:r w:rsidR="00DA51C9">
        <w:t xml:space="preserve">, </w:t>
      </w:r>
      <w:r w:rsidR="009C4D27">
        <w:t xml:space="preserve">to use proportionate processes to ensure the importance of free political expression and journalistic expression is </w:t>
      </w:r>
      <w:proofErr w:type="gramStart"/>
      <w:r w:rsidR="009C4D27">
        <w:t>taken into account</w:t>
      </w:r>
      <w:proofErr w:type="gramEnd"/>
      <w:r w:rsidR="00DA51C9">
        <w:t xml:space="preserve">, and </w:t>
      </w:r>
      <w:r w:rsidR="009C4D27">
        <w:t>to publish transparency reports on their activities.</w:t>
      </w:r>
    </w:p>
    <w:p w14:paraId="07E73E93" w14:textId="75CAD3F9" w:rsidR="009C4D27" w:rsidRDefault="009C4D27" w:rsidP="009C4D27">
      <w:pPr>
        <w:pStyle w:val="BodyText"/>
      </w:pPr>
      <w:r>
        <w:t xml:space="preserve">The bill also requires </w:t>
      </w:r>
      <w:proofErr w:type="spellStart"/>
      <w:r>
        <w:t>Ofcom</w:t>
      </w:r>
      <w:proofErr w:type="spellEnd"/>
      <w:r>
        <w:t xml:space="preserve">, the UK communications and media regulator, to develop codes of practice for digital platforms to describe measures recommended for the purpose of complying with their statutory duties. </w:t>
      </w:r>
      <w:proofErr w:type="spellStart"/>
      <w:r>
        <w:t>Ofcom</w:t>
      </w:r>
      <w:proofErr w:type="spellEnd"/>
      <w:r>
        <w:t xml:space="preserve"> would also be granted a suite of enforcement options including information-gathering powers and the issuing of penalties and service-restriction orders.</w:t>
      </w:r>
    </w:p>
    <w:p w14:paraId="49D4AD2D" w14:textId="32C2B86D" w:rsidR="009C4D27" w:rsidRDefault="009C4D27" w:rsidP="009C4D27">
      <w:pPr>
        <w:pStyle w:val="BodyText"/>
      </w:pPr>
      <w:r>
        <w:t>The bill is currently under consideration by a committee of the House of Lords.</w:t>
      </w:r>
    </w:p>
    <w:p w14:paraId="7329F11B" w14:textId="5419901B" w:rsidR="009C4D27" w:rsidRDefault="009C4D27" w:rsidP="009C4D27">
      <w:pPr>
        <w:pStyle w:val="Heading3"/>
      </w:pPr>
      <w:r>
        <w:t>United States</w:t>
      </w:r>
    </w:p>
    <w:p w14:paraId="5099297D" w14:textId="1C0E54AA" w:rsidR="009C4D27" w:rsidRDefault="009C4D27" w:rsidP="009C4D27">
      <w:pPr>
        <w:pStyle w:val="BodyText"/>
      </w:pPr>
      <w:r>
        <w:t>Much of the recent regulatory focus in the United States has focused on section 230 of the Communications Decency Act (47 U.S.C. § 230), which provides immunity from liability for third-party content to providers and users of interactive computer services. This includes immunity for distributing or making third-party content available online (47 U.S.C. § 230(c) (1)). It also includes immunity for moderating or restricting access to “objectionable” content, irrespective of whether the content is protected speech under the first amendment (47 U.S.C. § 230(c)(2)).</w:t>
      </w:r>
    </w:p>
    <w:p w14:paraId="19F426C0" w14:textId="6995A016" w:rsidR="009C4D27" w:rsidRDefault="009C4D27" w:rsidP="009C4D27">
      <w:pPr>
        <w:pStyle w:val="BodyText"/>
      </w:pPr>
      <w:r>
        <w:t>In effect, section 230(c)(2) means that digital platforms and websites can implement their own content-moderation policies and cannot in most cases be required to remove or moderate user-generated content. There are exceptions for material that violates copyright or federal sex-trafficking laws.</w:t>
      </w:r>
    </w:p>
    <w:p w14:paraId="467F5011" w14:textId="77777777" w:rsidR="009C4D27" w:rsidRDefault="009C4D27" w:rsidP="009C4D27">
      <w:pPr>
        <w:pStyle w:val="BodyText"/>
      </w:pPr>
      <w:r>
        <w:t>Calls to reform section 230 have come from both those seeking more-robust content moderation and those seeking to prevent platforms from removing or moderating content. In 2020 the US Department of Justice undertook a review of section 230 in response to an executive order from then- president Donald Trump. No legislative changes resulted from the review and the executive order was repealed by President Joe Biden on 21 May 2021.</w:t>
      </w:r>
    </w:p>
    <w:p w14:paraId="42141A83" w14:textId="7150D36B" w:rsidR="009C4D27" w:rsidRDefault="009C4D27" w:rsidP="009C4D27">
      <w:pPr>
        <w:pStyle w:val="BodyText"/>
      </w:pPr>
      <w:r>
        <w:t>At the state level, some US jurisdictions, including Texas and Florida, are considering laws to limit the ability of digital platforms to moderate user content</w:t>
      </w:r>
      <w:r w:rsidR="00B64BBA">
        <w:t>.</w:t>
      </w:r>
      <w:r w:rsidR="00B64BBA">
        <w:rPr>
          <w:rStyle w:val="FootnoteReference"/>
        </w:rPr>
        <w:footnoteReference w:id="6"/>
      </w:r>
    </w:p>
    <w:p w14:paraId="73BA3D70" w14:textId="7A89B50E" w:rsidR="009C4D27" w:rsidRPr="009C4D27" w:rsidRDefault="009C4D27" w:rsidP="009C4D27">
      <w:pPr>
        <w:pStyle w:val="BodyText"/>
      </w:pPr>
      <w:r>
        <w:t>In 2016 the US enacted legislation to address foreign interference and disinformation, but this was to establish government capability and is not directed at digital platforms.</w:t>
      </w:r>
    </w:p>
    <w:p w14:paraId="3E6F6722" w14:textId="1D63281F" w:rsidR="00897C58" w:rsidRDefault="00B9711C" w:rsidP="00B9711C">
      <w:pPr>
        <w:pStyle w:val="Heading3"/>
      </w:pPr>
      <w:r>
        <w:t>Canada</w:t>
      </w:r>
    </w:p>
    <w:p w14:paraId="0006E53D" w14:textId="32B51912" w:rsidR="00B9711C" w:rsidRDefault="00B9711C" w:rsidP="00B9711C">
      <w:pPr>
        <w:pStyle w:val="BodyText"/>
      </w:pPr>
      <w:r w:rsidRPr="00B9711C">
        <w:t>Canada has been undertaking consultation on a proposed online harms bill since a 2020 review of the country’s communication laws. Following public consultation in 2021, an advisory group was convened in 2022 to provide expert advice on legislative and regulatory design. The group advised the government in June 2022 to consider including disinformation in legislation on online safety, while being sure not to undermine fundamental rights enshrined in the Canadian Charter of Rights and Freedoms. The overall approach recommended by the group is to implement a risk-based framework underpinned by a formal duty for platforms to act responsibly</w:t>
      </w:r>
      <w:r w:rsidR="007E54B6">
        <w:t>.</w:t>
      </w:r>
    </w:p>
    <w:p w14:paraId="0ED0412C" w14:textId="146CF685" w:rsidR="00B9711C" w:rsidRPr="00B9711C" w:rsidRDefault="00B9711C" w:rsidP="00B9711C">
      <w:pPr>
        <w:pStyle w:val="Heading2"/>
      </w:pPr>
      <w:r>
        <w:lastRenderedPageBreak/>
        <w:t>Asia–Pacific regulation</w:t>
      </w:r>
    </w:p>
    <w:p w14:paraId="7A030B80" w14:textId="77777777" w:rsidR="00B9711C" w:rsidRDefault="00B9711C" w:rsidP="00B9711C">
      <w:pPr>
        <w:pStyle w:val="Heading3"/>
        <w:rPr>
          <w:rFonts w:eastAsia="Gotham Book"/>
        </w:rPr>
      </w:pPr>
      <w:r>
        <w:rPr>
          <w:rFonts w:eastAsia="Gotham Book"/>
        </w:rPr>
        <w:t>Australia</w:t>
      </w:r>
    </w:p>
    <w:p w14:paraId="61DD37E4" w14:textId="77777777" w:rsidR="00B9711C" w:rsidRPr="007041FD" w:rsidRDefault="00B9711C" w:rsidP="00B9711C">
      <w:pPr>
        <w:pStyle w:val="Heading4"/>
      </w:pPr>
      <w:r>
        <w:rPr>
          <w:lang w:val="en-US"/>
        </w:rPr>
        <w:t>Background</w:t>
      </w:r>
    </w:p>
    <w:p w14:paraId="7EB6128C" w14:textId="77777777" w:rsidR="00B9711C" w:rsidRDefault="00B9711C" w:rsidP="00B9711C">
      <w:pPr>
        <w:pStyle w:val="BodyText"/>
        <w:rPr>
          <w:rFonts w:ascii="Helvetica" w:hAnsi="Helvetica" w:cs="Helvetica"/>
          <w:color w:val="141413"/>
          <w:szCs w:val="18"/>
          <w:lang w:val="en-US"/>
        </w:rPr>
      </w:pPr>
      <w:r>
        <w:rPr>
          <w:rFonts w:ascii="Helvetica" w:hAnsi="Helvetica" w:cs="Helvetica"/>
          <w:color w:val="141413"/>
          <w:szCs w:val="18"/>
          <w:lang w:val="en-US"/>
        </w:rPr>
        <w:t>In December 2019, the Australian government asked major digital platforms to develop a voluntary, self-regulatory code of practice to address growing concerns about disinformation and the quality of online news. The independent media and communications regulator, the Australian Communications and Media Authority (ACMA) was appointed to oversee the development of the code and to report to government on its effectiveness.</w:t>
      </w:r>
    </w:p>
    <w:p w14:paraId="29F27434" w14:textId="77777777" w:rsidR="00B9711C" w:rsidRDefault="00B9711C" w:rsidP="00B9711C">
      <w:pPr>
        <w:pStyle w:val="BodyText"/>
        <w:rPr>
          <w:rFonts w:ascii="Helvetica" w:hAnsi="Helvetica" w:cs="Helvetica"/>
          <w:color w:val="141413"/>
          <w:szCs w:val="18"/>
          <w:lang w:val="en-US"/>
        </w:rPr>
      </w:pPr>
      <w:r>
        <w:rPr>
          <w:rFonts w:ascii="Helvetica" w:hAnsi="Helvetica" w:cs="Helvetica"/>
          <w:color w:val="141413"/>
          <w:szCs w:val="18"/>
          <w:lang w:val="en-US"/>
        </w:rPr>
        <w:t xml:space="preserve">In February 2021, following public consultation on a draft code, industry group DIGI released the Australian Code of Practice on Disinformation and Misinformation. Initial signatories were Google, Meta, Microsoft, Redbubble, </w:t>
      </w:r>
      <w:proofErr w:type="spellStart"/>
      <w:r>
        <w:rPr>
          <w:rFonts w:ascii="Helvetica" w:hAnsi="Helvetica" w:cs="Helvetica"/>
          <w:color w:val="141413"/>
          <w:szCs w:val="18"/>
          <w:lang w:val="en-US"/>
        </w:rPr>
        <w:t>Tiktok</w:t>
      </w:r>
      <w:proofErr w:type="spellEnd"/>
      <w:r>
        <w:rPr>
          <w:rFonts w:ascii="Helvetica" w:hAnsi="Helvetica" w:cs="Helvetica"/>
          <w:color w:val="141413"/>
          <w:szCs w:val="18"/>
          <w:lang w:val="en-US"/>
        </w:rPr>
        <w:t xml:space="preserve"> and Twitter, with Adobe and Apple joining soon after. </w:t>
      </w:r>
    </w:p>
    <w:p w14:paraId="5560C5BB" w14:textId="77777777" w:rsidR="00B9711C" w:rsidRDefault="00B9711C" w:rsidP="00B9711C">
      <w:pPr>
        <w:pStyle w:val="BodyText"/>
        <w:rPr>
          <w:rFonts w:ascii="Helvetica" w:hAnsi="Helvetica" w:cs="Helvetica"/>
          <w:color w:val="141413"/>
          <w:szCs w:val="18"/>
          <w:lang w:val="en-US"/>
        </w:rPr>
      </w:pPr>
      <w:r>
        <w:rPr>
          <w:rFonts w:ascii="Helvetica" w:hAnsi="Helvetica" w:cs="Helvetica"/>
          <w:color w:val="141413"/>
          <w:szCs w:val="18"/>
          <w:lang w:val="en-US"/>
        </w:rPr>
        <w:t>Consultation aimed at revising the code began in June 2022, and a revised code was launched in December 2022. This followed ACMA’s initial report to government on the code, which was released in March 2022. The report made a number of criticisms of the code. These included: a scope that was too narrow to effectively address all the harms arising from misinformation; inadequate reporting and transparency requirements; and inadequate frameworks for collaboration and ensuring consistency in risk assessment.</w:t>
      </w:r>
    </w:p>
    <w:p w14:paraId="7C8E84C6" w14:textId="77777777" w:rsidR="00B9711C" w:rsidRDefault="00B9711C" w:rsidP="00B9711C">
      <w:pPr>
        <w:pStyle w:val="Heading4"/>
        <w:rPr>
          <w:lang w:val="en-US"/>
        </w:rPr>
      </w:pPr>
      <w:r>
        <w:rPr>
          <w:lang w:val="en-US"/>
        </w:rPr>
        <w:t>The code</w:t>
      </w:r>
    </w:p>
    <w:p w14:paraId="0288AB13" w14:textId="77777777" w:rsidR="00B9711C" w:rsidRDefault="00B9711C" w:rsidP="00B9711C">
      <w:pPr>
        <w:pStyle w:val="BodyText"/>
        <w:rPr>
          <w:rFonts w:ascii="Helvetica" w:hAnsi="Helvetica" w:cs="Helvetica"/>
          <w:color w:val="141413"/>
          <w:szCs w:val="18"/>
          <w:lang w:val="en-US"/>
        </w:rPr>
      </w:pPr>
      <w:r>
        <w:rPr>
          <w:rFonts w:ascii="Helvetica" w:hAnsi="Helvetica" w:cs="Helvetica"/>
          <w:color w:val="141413"/>
          <w:szCs w:val="18"/>
          <w:lang w:val="en-US"/>
        </w:rPr>
        <w:t>Scope: The code includes misinformation but excludes some types of content (professional news, political advertising) and services (private messaging) associated with the dissemination of misinformation and disinformation. As a voluntary code, it is open to digital platforms to sign up to the code as they see fit.</w:t>
      </w:r>
    </w:p>
    <w:p w14:paraId="5017B737" w14:textId="77777777" w:rsidR="00B9711C" w:rsidRDefault="00B9711C" w:rsidP="00B9711C">
      <w:pPr>
        <w:pStyle w:val="BodyText"/>
        <w:rPr>
          <w:rFonts w:ascii="Helvetica" w:hAnsi="Helvetica" w:cs="Helvetica"/>
          <w:color w:val="141413"/>
          <w:szCs w:val="18"/>
          <w:lang w:val="en-US"/>
        </w:rPr>
      </w:pPr>
      <w:r>
        <w:rPr>
          <w:rFonts w:ascii="Helvetica" w:hAnsi="Helvetica" w:cs="Helvetica"/>
          <w:color w:val="141413"/>
          <w:szCs w:val="18"/>
          <w:lang w:val="en-US"/>
        </w:rPr>
        <w:t>The code includes commitments to address misinformation and disinformation on signatories’ online services; to counter financial incentives to propagate disinformation; to address inauthentic activity such as bots or sock-puppet accounts; to increase transparency of political and issues-based advertising; to provide users with tools to make informed choices about online content; and to support research and public awareness.</w:t>
      </w:r>
    </w:p>
    <w:p w14:paraId="38DCA57B" w14:textId="77777777" w:rsidR="00B9711C" w:rsidRDefault="00B9711C" w:rsidP="00B9711C">
      <w:pPr>
        <w:pStyle w:val="BodyText"/>
        <w:rPr>
          <w:rFonts w:ascii="Helvetica" w:hAnsi="Helvetica" w:cs="Helvetica"/>
          <w:color w:val="141413"/>
          <w:szCs w:val="18"/>
          <w:lang w:val="en-US"/>
        </w:rPr>
      </w:pPr>
      <w:r>
        <w:rPr>
          <w:rFonts w:ascii="Helvetica" w:hAnsi="Helvetica" w:cs="Helvetica"/>
          <w:color w:val="141413"/>
          <w:szCs w:val="18"/>
          <w:lang w:val="en-US"/>
        </w:rPr>
        <w:t>Enforcement: Some months after launching the code, DIGI introduced a code governance framework with independent input into both code oversight and evaluation of annual platform transparency reports. A complaints mechanism allows the public to lodge complaints where it is thought a platform is failing to comply with its code commitments.</w:t>
      </w:r>
    </w:p>
    <w:p w14:paraId="03C52AC4" w14:textId="77777777" w:rsidR="00B9711C" w:rsidRDefault="00B9711C" w:rsidP="00B9711C">
      <w:pPr>
        <w:pStyle w:val="Heading4"/>
      </w:pPr>
      <w:r>
        <w:t>Shift from self-regulation to co-regulation</w:t>
      </w:r>
    </w:p>
    <w:p w14:paraId="3E0654D4" w14:textId="77777777" w:rsidR="00B9711C" w:rsidRDefault="00B9711C" w:rsidP="00B9711C">
      <w:pPr>
        <w:pStyle w:val="BodyText"/>
        <w:rPr>
          <w:rFonts w:ascii="Helvetica" w:hAnsi="Helvetica" w:cs="Helvetica"/>
          <w:color w:val="141413"/>
          <w:szCs w:val="18"/>
          <w:lang w:val="en-US"/>
        </w:rPr>
      </w:pPr>
      <w:r>
        <w:rPr>
          <w:rFonts w:ascii="Helvetica" w:hAnsi="Helvetica" w:cs="Helvetica"/>
          <w:color w:val="141413"/>
          <w:szCs w:val="18"/>
          <w:lang w:val="en-US"/>
        </w:rPr>
        <w:t xml:space="preserve">In February 2023, the minister for communications announced that the government would introduce legislation to grant ACMA powers relating to disinformation and misinformation. These will include information-gathering powers, and powers to register and enforce industry codes, or to make standards where codes prove inadequate. It would also have a range of enforcement powers that are yet to be canvassed. This legislation will, if passed, essentially shift the scheme from self- to co-regulation, in harmony with existing broadcasting regulation. </w:t>
      </w:r>
    </w:p>
    <w:p w14:paraId="13F128A1" w14:textId="77777777" w:rsidR="00B9711C" w:rsidRDefault="00B9711C" w:rsidP="00B9711C">
      <w:pPr>
        <w:pStyle w:val="BodyText"/>
        <w:rPr>
          <w:rFonts w:ascii="Helvetica" w:hAnsi="Helvetica" w:cs="Helvetica"/>
          <w:color w:val="141413"/>
          <w:szCs w:val="18"/>
          <w:lang w:val="en-US"/>
        </w:rPr>
      </w:pPr>
      <w:r>
        <w:rPr>
          <w:rFonts w:ascii="Helvetica" w:hAnsi="Helvetica" w:cs="Helvetica"/>
          <w:color w:val="141413"/>
          <w:szCs w:val="18"/>
          <w:lang w:val="en-US"/>
        </w:rPr>
        <w:t>Importantly, however, the minister has indicated that ACMA’s powers will be directed at addressing evidence of systemic problems, and will not extend to assessing the truth or falsity of individual statements or ‘items of content’. This differs from ACMA’s role in broadcasting, where it can assess a broadcaster’s compliance in particular cases with accuracy provisions in industry codes of practice.</w:t>
      </w:r>
    </w:p>
    <w:p w14:paraId="25B05346" w14:textId="77777777" w:rsidR="00B9711C" w:rsidRDefault="00B9711C" w:rsidP="00B9711C">
      <w:pPr>
        <w:pStyle w:val="BodyText"/>
        <w:rPr>
          <w:rFonts w:ascii="Helvetica" w:hAnsi="Helvetica" w:cs="Helvetica"/>
          <w:color w:val="141413"/>
          <w:szCs w:val="18"/>
          <w:lang w:val="en-US"/>
        </w:rPr>
      </w:pPr>
      <w:r>
        <w:rPr>
          <w:rFonts w:ascii="Helvetica" w:hAnsi="Helvetica" w:cs="Helvetica"/>
          <w:color w:val="141413"/>
          <w:szCs w:val="18"/>
          <w:lang w:val="en-US"/>
        </w:rPr>
        <w:t xml:space="preserve">Australia has no federal laws addressing truth in political advertising, though two internal jurisdictions (South Australia and the ACT) do have such laws. While there are no explicit </w:t>
      </w:r>
      <w:r>
        <w:rPr>
          <w:rFonts w:ascii="Helvetica" w:hAnsi="Helvetica" w:cs="Helvetica"/>
          <w:color w:val="141413"/>
          <w:szCs w:val="18"/>
          <w:lang w:val="en-US"/>
        </w:rPr>
        <w:lastRenderedPageBreak/>
        <w:t>protections for freedom of speech, the High Court has found that the Australian Constitution contains a limited, implied freedom of political communication.</w:t>
      </w:r>
    </w:p>
    <w:p w14:paraId="713A3F18" w14:textId="333A1380" w:rsidR="00B9711C" w:rsidRDefault="00B9711C" w:rsidP="00B9711C">
      <w:pPr>
        <w:pStyle w:val="Heading3"/>
      </w:pPr>
      <w:r>
        <w:t>New Zealand</w:t>
      </w:r>
    </w:p>
    <w:p w14:paraId="50590278" w14:textId="0FF3E48F" w:rsidR="00B9711C" w:rsidRDefault="00B9711C" w:rsidP="00B9711C">
      <w:pPr>
        <w:pStyle w:val="BodyText"/>
        <w:rPr>
          <w:rFonts w:ascii="Helvetica" w:hAnsi="Helvetica" w:cs="Helvetica"/>
          <w:color w:val="141413"/>
          <w:szCs w:val="18"/>
          <w:lang w:val="en-US"/>
        </w:rPr>
      </w:pPr>
      <w:r>
        <w:rPr>
          <w:rFonts w:ascii="Helvetica" w:hAnsi="Helvetica" w:cs="Helvetica"/>
          <w:color w:val="141413"/>
          <w:szCs w:val="18"/>
          <w:lang w:val="en-US"/>
        </w:rPr>
        <w:t xml:space="preserve">In New Zealand, non-profit online safety </w:t>
      </w:r>
      <w:proofErr w:type="spellStart"/>
      <w:r>
        <w:rPr>
          <w:rFonts w:ascii="Helvetica" w:hAnsi="Helvetica" w:cs="Helvetica"/>
          <w:color w:val="141413"/>
          <w:szCs w:val="18"/>
          <w:lang w:val="en-US"/>
        </w:rPr>
        <w:t>organisation</w:t>
      </w:r>
      <w:proofErr w:type="spellEnd"/>
      <w:r>
        <w:rPr>
          <w:rFonts w:ascii="Helvetica" w:hAnsi="Helvetica" w:cs="Helvetica"/>
          <w:color w:val="141413"/>
          <w:szCs w:val="18"/>
          <w:lang w:val="en-US"/>
        </w:rPr>
        <w:t xml:space="preserve"> </w:t>
      </w:r>
      <w:proofErr w:type="spellStart"/>
      <w:r>
        <w:rPr>
          <w:rFonts w:ascii="Helvetica" w:hAnsi="Helvetica" w:cs="Helvetica"/>
          <w:color w:val="141413"/>
          <w:szCs w:val="18"/>
          <w:lang w:val="en-US"/>
        </w:rPr>
        <w:t>Netsafe</w:t>
      </w:r>
      <w:proofErr w:type="spellEnd"/>
      <w:r>
        <w:rPr>
          <w:rFonts w:ascii="Helvetica" w:hAnsi="Helvetica" w:cs="Helvetica"/>
          <w:color w:val="141413"/>
          <w:szCs w:val="18"/>
          <w:lang w:val="en-US"/>
        </w:rPr>
        <w:t xml:space="preserve"> has led development of the voluntary Aotearoa New Zealand Code of Practice for Online Safety and Harms. The code was released on 25 July 2022 and will be administered by industry group </w:t>
      </w:r>
      <w:proofErr w:type="spellStart"/>
      <w:r>
        <w:rPr>
          <w:rFonts w:ascii="Helvetica" w:hAnsi="Helvetica" w:cs="Helvetica"/>
          <w:color w:val="141413"/>
          <w:szCs w:val="18"/>
          <w:lang w:val="en-US"/>
        </w:rPr>
        <w:t>NZTech</w:t>
      </w:r>
      <w:proofErr w:type="spellEnd"/>
      <w:r>
        <w:rPr>
          <w:rFonts w:ascii="Helvetica" w:hAnsi="Helvetica" w:cs="Helvetica"/>
          <w:color w:val="141413"/>
          <w:szCs w:val="18"/>
          <w:lang w:val="en-US"/>
        </w:rPr>
        <w:t xml:space="preserve">. Signatories are Meta, Google, </w:t>
      </w:r>
      <w:proofErr w:type="spellStart"/>
      <w:r>
        <w:rPr>
          <w:rFonts w:ascii="Helvetica" w:hAnsi="Helvetica" w:cs="Helvetica"/>
          <w:color w:val="141413"/>
          <w:szCs w:val="18"/>
          <w:lang w:val="en-US"/>
        </w:rPr>
        <w:t>TikTok</w:t>
      </w:r>
      <w:proofErr w:type="spellEnd"/>
      <w:r>
        <w:rPr>
          <w:rFonts w:ascii="Helvetica" w:hAnsi="Helvetica" w:cs="Helvetica"/>
          <w:color w:val="141413"/>
          <w:szCs w:val="18"/>
          <w:lang w:val="en-US"/>
        </w:rPr>
        <w:t>, Twitch and Twitter. The code aims to address a range of online harms, including disinformation and misinformation, by increasing platform accountability and transparency. It takes an outcomes-based, self-regulatory approach similar to the Australian code.</w:t>
      </w:r>
    </w:p>
    <w:p w14:paraId="6FF966AF" w14:textId="1A93E8D7" w:rsidR="00B9711C" w:rsidRDefault="00B9711C" w:rsidP="00B9711C">
      <w:pPr>
        <w:pStyle w:val="BodyText"/>
        <w:rPr>
          <w:rFonts w:ascii="Helvetica" w:hAnsi="Helvetica" w:cs="Helvetica"/>
          <w:color w:val="141413"/>
          <w:szCs w:val="18"/>
          <w:lang w:val="en-US"/>
        </w:rPr>
      </w:pPr>
      <w:r>
        <w:rPr>
          <w:rFonts w:ascii="Helvetica" w:hAnsi="Helvetica" w:cs="Helvetica"/>
          <w:color w:val="141413"/>
          <w:szCs w:val="18"/>
          <w:lang w:val="en-US"/>
        </w:rPr>
        <w:t>The New Zealand government commenced the Content Regulatory Review in June 2021 to examine harmful content as well as broader media reform. It is currently examining options for regulatory reform, with consultation on a new framework expected in mid-2023.</w:t>
      </w:r>
    </w:p>
    <w:p w14:paraId="3243758C" w14:textId="0082B2EB" w:rsidR="00747DB8" w:rsidRDefault="00747DB8" w:rsidP="00747DB8">
      <w:pPr>
        <w:pStyle w:val="Heading3"/>
      </w:pPr>
      <w:r>
        <w:t>Indonesia</w:t>
      </w:r>
    </w:p>
    <w:p w14:paraId="2A3DA038" w14:textId="43A36D99" w:rsidR="00747DB8" w:rsidRDefault="00747DB8" w:rsidP="00747DB8">
      <w:pPr>
        <w:pStyle w:val="BodyText"/>
      </w:pPr>
      <w:r>
        <w:t>Indonesia takes a more-robust approach to misinformation and disinformation than the countries previously discussed. In Indonesia, the spreading of false information or news that intentionally causes public disorder is illegal under the criminal code and those convicted can face prison sentences up to ten years. Spreading false information or news that causes unrest, or uncertain, exaggerated or incomplete information or news carries lower sentences. The use of the criminal code for policing misinformation has attracted significant criticism</w:t>
      </w:r>
      <w:r w:rsidR="00EB3339">
        <w:t>.</w:t>
      </w:r>
      <w:r w:rsidR="00EB3339">
        <w:rPr>
          <w:rStyle w:val="FootnoteReference"/>
        </w:rPr>
        <w:footnoteReference w:id="7"/>
      </w:r>
      <w:r>
        <w:t xml:space="preserve"> The code is currently under review.</w:t>
      </w:r>
    </w:p>
    <w:p w14:paraId="7D687048" w14:textId="36CF9B33" w:rsidR="00747DB8" w:rsidRPr="00747DB8" w:rsidRDefault="00747DB8" w:rsidP="00747DB8">
      <w:pPr>
        <w:pStyle w:val="Heading3"/>
      </w:pPr>
      <w:r>
        <w:t>Singapore</w:t>
      </w:r>
    </w:p>
    <w:p w14:paraId="31169FF0" w14:textId="0974C8D7" w:rsidR="00747DB8" w:rsidRPr="00747DB8" w:rsidRDefault="00747DB8" w:rsidP="00747DB8">
      <w:pPr>
        <w:pStyle w:val="BodyText"/>
      </w:pPr>
      <w:r>
        <w:t xml:space="preserve">Singapore also has a robust </w:t>
      </w:r>
      <w:proofErr w:type="spellStart"/>
      <w:r>
        <w:t>approach.The</w:t>
      </w:r>
      <w:proofErr w:type="spellEnd"/>
      <w:r>
        <w:t xml:space="preserve"> Protection from Online Falsehoods and Manipulation Act (POFMA) was introduced in 2019 (Republic of Singapore, 2019). Under the Act, any minister can declare information to be “false or misleading” and force its publisher to apply a correction notice or remove the material if they believe the material to be against the public interest. Individuals face fines of up to S$50,000 and/or jail terms of up to five years. Non-individuals (such as internet companies) face up to S$1million in fines plus S$100,000 per day of non-compliance. International human rights groups have criticised POFMA as a threat to free speech. POFMA has been considered as a model for tackling online misinformation in other countries, such as Nigeria</w:t>
      </w:r>
      <w:r w:rsidR="00EB3339">
        <w:t>.</w:t>
      </w:r>
      <w:r w:rsidR="00EB3339">
        <w:rPr>
          <w:rStyle w:val="FootnoteReference"/>
        </w:rPr>
        <w:footnoteReference w:id="8"/>
      </w:r>
    </w:p>
    <w:p w14:paraId="3966A2B2" w14:textId="53F79185" w:rsidR="00897C58" w:rsidRPr="00747DB8" w:rsidRDefault="00747DB8" w:rsidP="00747DB8">
      <w:pPr>
        <w:pStyle w:val="Heading3"/>
      </w:pPr>
      <w:r>
        <w:t>Fiji</w:t>
      </w:r>
    </w:p>
    <w:p w14:paraId="7550CA5F" w14:textId="77777777" w:rsidR="009C5A31" w:rsidRDefault="0012556D" w:rsidP="002953DD">
      <w:pPr>
        <w:pStyle w:val="BodyText"/>
      </w:pPr>
      <w:r>
        <w:t xml:space="preserve">Fiji’s </w:t>
      </w:r>
      <w:r w:rsidR="006F6670" w:rsidRPr="00417509">
        <w:t>Online Safety Act</w:t>
      </w:r>
      <w:r w:rsidR="00417509">
        <w:t xml:space="preserve"> was introduced in 2018 ostensibly to protect citizens from harms such as revenge porn and cyber-harassment. Although its wording is broad, the act addresses harms only to individuals</w:t>
      </w:r>
      <w:r w:rsidR="00F0612D">
        <w:t>. Nonetheless, the law raised concerns that it would be a back door to censorship in a country where the government has historically exercised some control over both state and private media.</w:t>
      </w:r>
    </w:p>
    <w:p w14:paraId="24F0FF2A" w14:textId="485E3263" w:rsidR="00405516" w:rsidRDefault="009C5A31" w:rsidP="002953DD">
      <w:pPr>
        <w:pStyle w:val="BodyText"/>
        <w:rPr>
          <w:rStyle w:val="markedcontent"/>
          <w:rFonts w:ascii="Arial" w:hAnsi="Arial" w:cs="Arial"/>
        </w:rPr>
      </w:pPr>
      <w:r>
        <w:t>The M</w:t>
      </w:r>
      <w:r>
        <w:rPr>
          <w:rStyle w:val="markedcontent"/>
          <w:rFonts w:ascii="Arial" w:hAnsi="Arial" w:cs="Arial"/>
        </w:rPr>
        <w:t xml:space="preserve">edia Industry Development Decree, introduced in 2010, established the Media Industry Development Authority to regulate </w:t>
      </w:r>
      <w:r w:rsidR="004E3C07">
        <w:rPr>
          <w:rStyle w:val="markedcontent"/>
          <w:rFonts w:ascii="Arial" w:hAnsi="Arial" w:cs="Arial"/>
        </w:rPr>
        <w:t>traditional media organisations (i.e. not online public expression).</w:t>
      </w:r>
      <w:r>
        <w:rPr>
          <w:rStyle w:val="markedcontent"/>
          <w:rFonts w:ascii="Arial" w:hAnsi="Arial" w:cs="Arial"/>
        </w:rPr>
        <w:t xml:space="preserve"> </w:t>
      </w:r>
      <w:r w:rsidR="004E3C07">
        <w:rPr>
          <w:rStyle w:val="markedcontent"/>
          <w:rFonts w:ascii="Arial" w:hAnsi="Arial" w:cs="Arial"/>
        </w:rPr>
        <w:t>E</w:t>
      </w:r>
      <w:r>
        <w:rPr>
          <w:rStyle w:val="markedcontent"/>
          <w:rFonts w:ascii="Arial" w:hAnsi="Arial" w:cs="Arial"/>
        </w:rPr>
        <w:t>nforcement powers includ</w:t>
      </w:r>
      <w:r w:rsidR="004E3C07">
        <w:rPr>
          <w:rStyle w:val="markedcontent"/>
          <w:rFonts w:ascii="Arial" w:hAnsi="Arial" w:cs="Arial"/>
        </w:rPr>
        <w:t>e</w:t>
      </w:r>
      <w:r>
        <w:rPr>
          <w:rStyle w:val="markedcontent"/>
          <w:rFonts w:ascii="Arial" w:hAnsi="Arial" w:cs="Arial"/>
        </w:rPr>
        <w:t xml:space="preserve"> fines and jail sentences for breaches of regulations</w:t>
      </w:r>
      <w:r w:rsidR="005C3631">
        <w:rPr>
          <w:rStyle w:val="markedcontent"/>
          <w:rFonts w:ascii="Arial" w:hAnsi="Arial" w:cs="Arial"/>
        </w:rPr>
        <w:t xml:space="preserve"> prohibitions against material deemed to be against the public interest or order, against the national interest, or which creates communal discord.</w:t>
      </w:r>
      <w:r>
        <w:rPr>
          <w:rStyle w:val="markedcontent"/>
          <w:rFonts w:ascii="Arial" w:hAnsi="Arial" w:cs="Arial"/>
        </w:rPr>
        <w:t xml:space="preserve"> </w:t>
      </w:r>
      <w:r w:rsidR="004E3C07">
        <w:rPr>
          <w:rStyle w:val="markedcontent"/>
          <w:rFonts w:ascii="Arial" w:hAnsi="Arial" w:cs="Arial"/>
        </w:rPr>
        <w:t xml:space="preserve">These provisions have attracted substantial criticism both inside and outside Fiji. </w:t>
      </w:r>
      <w:r w:rsidR="005C3631">
        <w:rPr>
          <w:rStyle w:val="markedcontent"/>
          <w:rFonts w:ascii="Arial" w:hAnsi="Arial" w:cs="Arial"/>
        </w:rPr>
        <w:t xml:space="preserve">The decree also sets out a code </w:t>
      </w:r>
      <w:r w:rsidR="005C3631">
        <w:rPr>
          <w:rStyle w:val="markedcontent"/>
          <w:rFonts w:ascii="Arial" w:hAnsi="Arial" w:cs="Arial"/>
        </w:rPr>
        <w:lastRenderedPageBreak/>
        <w:t>of ethics for media organisations that, aside from its obligatory nature, parallels best-practice codes seen in countries such as Australia</w:t>
      </w:r>
      <w:r w:rsidR="004E3C07">
        <w:rPr>
          <w:rStyle w:val="markedcontent"/>
          <w:rFonts w:ascii="Arial" w:hAnsi="Arial" w:cs="Arial"/>
        </w:rPr>
        <w:t xml:space="preserve">. </w:t>
      </w:r>
    </w:p>
    <w:p w14:paraId="3F70D763" w14:textId="05162C2C" w:rsidR="00EB435C" w:rsidRDefault="00EB435C" w:rsidP="00EB435C">
      <w:pPr>
        <w:pStyle w:val="Heading3"/>
      </w:pPr>
      <w:r>
        <w:t>Papua New Guinea</w:t>
      </w:r>
    </w:p>
    <w:p w14:paraId="672C1FA7" w14:textId="22C7350B" w:rsidR="00DA51C9" w:rsidRDefault="00EB435C" w:rsidP="00EB435C">
      <w:pPr>
        <w:pStyle w:val="BodyText"/>
      </w:pPr>
      <w:r>
        <w:t xml:space="preserve">Papua New Guinea has </w:t>
      </w:r>
      <w:proofErr w:type="spellStart"/>
      <w:r>
        <w:t>consitutional</w:t>
      </w:r>
      <w:proofErr w:type="spellEnd"/>
      <w:r>
        <w:t xml:space="preserve"> protections for </w:t>
      </w:r>
      <w:r w:rsidRPr="00EB435C">
        <w:t>freedom of speech, press, worship, movement and association.</w:t>
      </w:r>
      <w:r>
        <w:t xml:space="preserve"> </w:t>
      </w:r>
      <w:r w:rsidR="00DA51C9">
        <w:t>Since the onset of the Covid-10 pandemic, the PNG government has considered social-media regulation and has previously suggested that Facebook should be banned.</w:t>
      </w:r>
    </w:p>
    <w:p w14:paraId="2FD1221B" w14:textId="7D77B0E4" w:rsidR="00EB435C" w:rsidRDefault="00EB435C" w:rsidP="00EB435C">
      <w:pPr>
        <w:pStyle w:val="BodyText"/>
      </w:pPr>
      <w:r>
        <w:t xml:space="preserve">As with the introduction of the Media Industry Development Decree in Fiji, the PNG government has emphasised the need for the </w:t>
      </w:r>
      <w:r w:rsidRPr="00EB435C">
        <w:t>media to focus on national development and sought to improve media standards through stronger legislation</w:t>
      </w:r>
      <w:r>
        <w:t>. As in Fiji,</w:t>
      </w:r>
      <w:r w:rsidRPr="00EB435C">
        <w:t xml:space="preserve"> </w:t>
      </w:r>
      <w:r w:rsidR="00DA51C9">
        <w:t>critics</w:t>
      </w:r>
      <w:r w:rsidRPr="00EB435C">
        <w:t xml:space="preserve"> </w:t>
      </w:r>
      <w:r>
        <w:t>have labelled</w:t>
      </w:r>
      <w:r w:rsidRPr="00EB435C">
        <w:t xml:space="preserve"> this a guise for government </w:t>
      </w:r>
      <w:r w:rsidR="00DA51C9">
        <w:t xml:space="preserve">media </w:t>
      </w:r>
      <w:r w:rsidRPr="00EB435C">
        <w:t>control.</w:t>
      </w:r>
    </w:p>
    <w:p w14:paraId="1CF16DC3" w14:textId="744C3C24" w:rsidR="00E45713" w:rsidRDefault="00E45713" w:rsidP="00EB435C">
      <w:pPr>
        <w:pStyle w:val="BodyText"/>
      </w:pPr>
      <w:r>
        <w:t xml:space="preserve">On 5 February 2023, the PNG government proposed a new </w:t>
      </w:r>
      <w:r>
        <w:rPr>
          <w:rFonts w:ascii="Arial" w:hAnsi="Arial" w:cs="Arial"/>
        </w:rPr>
        <w:t xml:space="preserve">National Media Development Policy, which would impose licensing on journalists and media organisations and </w:t>
      </w:r>
      <w:r w:rsidR="00671EDB">
        <w:rPr>
          <w:rFonts w:ascii="Arial" w:hAnsi="Arial" w:cs="Arial"/>
        </w:rPr>
        <w:t>establish the hitherto self-regulatory PNG Media Council under legislation.</w:t>
      </w:r>
    </w:p>
    <w:p w14:paraId="0EB04259" w14:textId="568DB2B8" w:rsidR="006346D6" w:rsidRDefault="006346D6" w:rsidP="006346D6">
      <w:pPr>
        <w:pStyle w:val="Heading3"/>
      </w:pPr>
      <w:r>
        <w:t>Vanuatu</w:t>
      </w:r>
    </w:p>
    <w:p w14:paraId="28A7D619" w14:textId="29899C1A" w:rsidR="00EB3339" w:rsidRDefault="00A87C02" w:rsidP="00A87C02">
      <w:pPr>
        <w:pStyle w:val="BodyText"/>
      </w:pPr>
      <w:r>
        <w:t>In 202</w:t>
      </w:r>
      <w:r w:rsidR="00244435">
        <w:t>1</w:t>
      </w:r>
      <w:r>
        <w:t xml:space="preserve">, the Vanuatu Government introduced </w:t>
      </w:r>
      <w:r w:rsidR="00244435">
        <w:t xml:space="preserve">the Cybercrime Act, ostensibly to </w:t>
      </w:r>
      <w:r w:rsidR="00625FC1">
        <w:t xml:space="preserve">combat cyberbullying, stalking and digital hate crimes. </w:t>
      </w:r>
      <w:r w:rsidR="008E46D3">
        <w:t>Enforcement measures are strong, but i</w:t>
      </w:r>
      <w:r w:rsidR="00625FC1">
        <w:t>t carves out protections for free speech, the public good, and privacy</w:t>
      </w:r>
      <w:r w:rsidR="00EB3339">
        <w:t xml:space="preserve"> (but not media) </w:t>
      </w:r>
      <w:r w:rsidR="008E46D3">
        <w:t xml:space="preserve">and requires judicial review of warrant applications. </w:t>
      </w:r>
    </w:p>
    <w:p w14:paraId="6982C2A7" w14:textId="5410EED9" w:rsidR="00A87C02" w:rsidRDefault="008E46D3" w:rsidP="00A87C02">
      <w:pPr>
        <w:pStyle w:val="BodyText"/>
      </w:pPr>
      <w:r>
        <w:t xml:space="preserve">The application of the legislation </w:t>
      </w:r>
      <w:r w:rsidR="00625FC1">
        <w:t>has been criticised</w:t>
      </w:r>
      <w:r>
        <w:t>, however, with the broad provisions allegedly</w:t>
      </w:r>
      <w:r w:rsidR="00EB3339">
        <w:t xml:space="preserve"> </w:t>
      </w:r>
      <w:r>
        <w:t>being used to arrest and intimidate critics of the government.</w:t>
      </w:r>
      <w:r>
        <w:rPr>
          <w:rStyle w:val="FootnoteReference"/>
        </w:rPr>
        <w:footnoteReference w:id="9"/>
      </w:r>
    </w:p>
    <w:p w14:paraId="0398E3FC" w14:textId="77777777" w:rsidR="006346D6" w:rsidRDefault="006346D6" w:rsidP="00EB435C">
      <w:pPr>
        <w:pStyle w:val="BodyText"/>
      </w:pPr>
    </w:p>
    <w:p w14:paraId="752BC162" w14:textId="77777777" w:rsidR="003B27D2" w:rsidRPr="00EB435C" w:rsidRDefault="003B27D2" w:rsidP="00EB435C">
      <w:pPr>
        <w:pStyle w:val="BodyText"/>
      </w:pPr>
    </w:p>
    <w:sectPr w:rsidR="003B27D2" w:rsidRPr="00EB435C" w:rsidSect="002E6FCD">
      <w:headerReference w:type="even" r:id="rId15"/>
      <w:headerReference w:type="default" r:id="rId16"/>
      <w:footerReference w:type="even" r:id="rId17"/>
      <w:footerReference w:type="default" r:id="rId18"/>
      <w:headerReference w:type="first" r:id="rId19"/>
      <w:footerReference w:type="first" r:id="rId20"/>
      <w:pgSz w:w="11906" w:h="16838" w:code="9"/>
      <w:pgMar w:top="1701" w:right="1701" w:bottom="1418" w:left="1701" w:header="567"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739AD" w14:textId="77777777" w:rsidR="00FF0F09" w:rsidRDefault="00FF0F09" w:rsidP="00185154">
      <w:r>
        <w:separator/>
      </w:r>
    </w:p>
    <w:p w14:paraId="242C73F9" w14:textId="77777777" w:rsidR="00FF0F09" w:rsidRDefault="00FF0F09"/>
  </w:endnote>
  <w:endnote w:type="continuationSeparator" w:id="0">
    <w:p w14:paraId="6E0DFF52" w14:textId="77777777" w:rsidR="00FF0F09" w:rsidRDefault="00FF0F09" w:rsidP="00185154">
      <w:r>
        <w:continuationSeparator/>
      </w:r>
    </w:p>
    <w:p w14:paraId="2A08E128" w14:textId="77777777" w:rsidR="00FF0F09" w:rsidRDefault="00FF0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Humanist777BT-ItalicB">
    <w:altName w:val="Calibri"/>
    <w:panose1 w:val="00000000000000000000"/>
    <w:charset w:val="4D"/>
    <w:family w:val="auto"/>
    <w:notTrueType/>
    <w:pitch w:val="default"/>
    <w:sig w:usb0="00000003" w:usb1="00000000" w:usb2="00000000" w:usb3="00000000" w:csb0="00000001" w:csb1="00000000"/>
  </w:font>
  <w:font w:name="Gotham Book">
    <w:altName w:val="Cambria"/>
    <w:charset w:val="00"/>
    <w:family w:val="moder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E76A" w14:textId="77777777" w:rsidR="00862338" w:rsidRDefault="00862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F94C" w14:textId="760B39F0" w:rsidR="003267DE" w:rsidRDefault="003267DE" w:rsidP="002E6FCD">
    <w:pPr>
      <w:pStyle w:val="Footer"/>
    </w:pPr>
    <w:r w:rsidRPr="00F70A5E">
      <w:rPr>
        <w:noProof/>
        <w:lang w:eastAsia="en-AU"/>
      </w:rPr>
      <mc:AlternateContent>
        <mc:Choice Requires="wps">
          <w:drawing>
            <wp:anchor distT="0" distB="0" distL="114300" distR="114300" simplePos="0" relativeHeight="251671040" behindDoc="0" locked="0" layoutInCell="1" allowOverlap="1" wp14:anchorId="22A895C8" wp14:editId="3886DAB2">
              <wp:simplePos x="0" y="0"/>
              <wp:positionH relativeFrom="margin">
                <wp:posOffset>5780115</wp:posOffset>
              </wp:positionH>
              <wp:positionV relativeFrom="page">
                <wp:posOffset>10062210</wp:posOffset>
              </wp:positionV>
              <wp:extent cx="277200" cy="630000"/>
              <wp:effectExtent l="0" t="0" r="8890" b="0"/>
              <wp:wrapNone/>
              <wp:docPr id="10" name="Text Box 10"/>
              <wp:cNvGraphicFramePr/>
              <a:graphic xmlns:a="http://schemas.openxmlformats.org/drawingml/2006/main">
                <a:graphicData uri="http://schemas.microsoft.com/office/word/2010/wordprocessingShape">
                  <wps:wsp>
                    <wps:cNvSpPr txBox="1"/>
                    <wps:spPr>
                      <a:xfrm>
                        <a:off x="0" y="0"/>
                        <a:ext cx="277200" cy="63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1133B" w14:textId="77777777" w:rsidR="003267DE" w:rsidRPr="00F70A5E" w:rsidRDefault="003267DE" w:rsidP="009E6B72">
                          <w:pPr>
                            <w:jc w:val="right"/>
                            <w:rPr>
                              <w:color w:val="0F4BEB" w:themeColor="accent1"/>
                            </w:rPr>
                          </w:pPr>
                          <w:r w:rsidRPr="00F70A5E">
                            <w:rPr>
                              <w:color w:val="0F4BEB" w:themeColor="accent1"/>
                            </w:rPr>
                            <w:fldChar w:fldCharType="begin"/>
                          </w:r>
                          <w:r w:rsidRPr="00F70A5E">
                            <w:rPr>
                              <w:color w:val="0F4BEB" w:themeColor="accent1"/>
                            </w:rPr>
                            <w:instrText xml:space="preserve"> PAGE  \* Arabic  \* MERGEFORMAT </w:instrText>
                          </w:r>
                          <w:r w:rsidRPr="00F70A5E">
                            <w:rPr>
                              <w:color w:val="0F4BEB" w:themeColor="accent1"/>
                            </w:rPr>
                            <w:fldChar w:fldCharType="separate"/>
                          </w:r>
                          <w:r>
                            <w:rPr>
                              <w:noProof/>
                              <w:color w:val="0F4BEB" w:themeColor="accent1"/>
                            </w:rPr>
                            <w:t>2</w:t>
                          </w:r>
                          <w:r w:rsidRPr="00F70A5E">
                            <w:rPr>
                              <w:color w:val="0F4BEB" w:themeColor="accent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895C8" id="_x0000_t202" coordsize="21600,21600" o:spt="202" path="m,l,21600r21600,l21600,xe">
              <v:stroke joinstyle="miter"/>
              <v:path gradientshapeok="t" o:connecttype="rect"/>
            </v:shapetype>
            <v:shape id="Text Box 10" o:spid="_x0000_s1035" type="#_x0000_t202" style="position:absolute;margin-left:455.15pt;margin-top:792.3pt;width:21.85pt;height:49.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nxbQIAAFMFAAAOAAAAZHJzL2Uyb0RvYy54bWysVE1PGzEQvVfqf7B8LxuoClXEBqUgqkoI&#10;EFBxdrw2WdX2uLaT3fTX99m7GxDthao5OLMzb57n06dnvTVsq0JsydX88GDGmXKSmtY91fz7w+WH&#10;z5zFJFwjDDlV852K/Gzx/t1p5+fqiNZkGhUYSFycd77m65T8vKqiXCsr4gF55WDUFKxI+AxPVRNE&#10;B3ZrqqPZ7LjqKDQ+kFQxQnsxGPmi8GutZLrROqrETM0RWypnKOcqn9XiVMyfgvDrVo5hiH+IworW&#10;4dI91YVIgm1C+weVbWWgSDodSLIVad1KVXJANoezV9ncr4VXJRcUJ/p9meL/o5XX29vA2ga9Q3mc&#10;sOjRg+oT+0I9gwr16XycA3bvAUw99MBO+ghlTrvXweZ/JMRgB9VuX93MJqE8OjlBxziTMB1/nOGX&#10;WapnZx9i+qrIsizUPKB5paZiexXTAJ0g+S5Hl60xpYHGsS6TfpoVh70F5MZlrCqjMNLkhIbAi5R2&#10;RmWMcXdKoxQl/qwoQ6jOTWBbgfERUiqXSuqFF+iM0gjiLY4j/jmqtzgPeUw3k0t7Z9s6CiX7V2E3&#10;P6aQ9YBHzV/kncXUr/qx0StqduhzoGFTopeXLbpxJWK6FQGrgQZi3dMNDm0IVadR4mxN4dff9BmP&#10;iYWVsw6rVvP4cyOC4sx8c5hlUKZJCJOwmgS3seeE8h/iIfGyiHAIyUyiDmQf8Qos8y0wCSdxV83T&#10;JJ6nYeHxiki1XBYQts+LdOXuvczUuRt5th76RxH8OIAJk3tN0xKK+as5HLDZ09Fyk0i3ZUhzQYcq&#10;joXG5pYxH1+Z/DS8/C6o57dw8RsAAP//AwBQSwMEFAAGAAgAAAAhADi0/EPiAAAADQEAAA8AAABk&#10;cnMvZG93bnJldi54bWxMj0tPwzAQhO9I/AdrkbhRO7SN0hCnQjxuPNsiwc2JTRIRryPbScO/ZznB&#10;cWc+zc4U29n2bDI+dA4lJAsBzGDtdIeNhMP+/iIDFqJCrXqHRsK3CbAtT08KlWt3xFcz7WLDKARD&#10;riS0MQ4556FujVVh4QaD5H06b1Wk0zdce3WkcNvzSyFSblWH9KFVg7lpTf21G62E/j34h0rEj+m2&#10;eYwvz3x8u0uepDw/m6+vgEUzxz8YfutTdSipU+VG1IH1EjaJWBJKxjpbpcAI2axXNK8iKc2WGfCy&#10;4P9XlD8AAAD//wMAUEsBAi0AFAAGAAgAAAAhALaDOJL+AAAA4QEAABMAAAAAAAAAAAAAAAAAAAAA&#10;AFtDb250ZW50X1R5cGVzXS54bWxQSwECLQAUAAYACAAAACEAOP0h/9YAAACUAQAACwAAAAAAAAAA&#10;AAAAAAAvAQAAX3JlbHMvLnJlbHNQSwECLQAUAAYACAAAACEARMp58W0CAABTBQAADgAAAAAAAAAA&#10;AAAAAAAuAgAAZHJzL2Uyb0RvYy54bWxQSwECLQAUAAYACAAAACEAOLT8Q+IAAAANAQAADwAAAAAA&#10;AAAAAAAAAADHBAAAZHJzL2Rvd25yZXYueG1sUEsFBgAAAAAEAAQA8wAAANYFAAAAAA==&#10;" filled="f" stroked="f" strokeweight=".5pt">
              <v:textbox inset="0,0,0,0">
                <w:txbxContent>
                  <w:p w14:paraId="6411133B" w14:textId="77777777" w:rsidR="003267DE" w:rsidRPr="00F70A5E" w:rsidRDefault="003267DE" w:rsidP="009E6B72">
                    <w:pPr>
                      <w:jc w:val="right"/>
                      <w:rPr>
                        <w:color w:val="0F4BEB" w:themeColor="accent1"/>
                      </w:rPr>
                    </w:pPr>
                    <w:r w:rsidRPr="00F70A5E">
                      <w:rPr>
                        <w:color w:val="0F4BEB" w:themeColor="accent1"/>
                      </w:rPr>
                      <w:fldChar w:fldCharType="begin"/>
                    </w:r>
                    <w:r w:rsidRPr="00F70A5E">
                      <w:rPr>
                        <w:color w:val="0F4BEB" w:themeColor="accent1"/>
                      </w:rPr>
                      <w:instrText xml:space="preserve"> PAGE  \* Arabic  \* MERGEFORMAT </w:instrText>
                    </w:r>
                    <w:r w:rsidRPr="00F70A5E">
                      <w:rPr>
                        <w:color w:val="0F4BEB" w:themeColor="accent1"/>
                      </w:rPr>
                      <w:fldChar w:fldCharType="separate"/>
                    </w:r>
                    <w:r>
                      <w:rPr>
                        <w:noProof/>
                        <w:color w:val="0F4BEB" w:themeColor="accent1"/>
                      </w:rPr>
                      <w:t>2</w:t>
                    </w:r>
                    <w:r w:rsidRPr="00F70A5E">
                      <w:rPr>
                        <w:color w:val="0F4BEB" w:themeColor="accent1"/>
                      </w:rPr>
                      <w:fldChar w:fldCharType="end"/>
                    </w:r>
                  </w:p>
                </w:txbxContent>
              </v:textbox>
              <w10:wrap anchorx="margin" anchory="page"/>
            </v:shape>
          </w:pict>
        </mc:Fallback>
      </mc:AlternateContent>
    </w:r>
    <w:r>
      <w:t xml:space="preserve">UTS Centre for Media Transition – </w:t>
    </w:r>
    <w:r w:rsidR="00862338">
      <w:t xml:space="preserve">Regulatory approaches to misinformation and disinformation in the Asia–Pacific </w:t>
    </w:r>
  </w:p>
  <w:p w14:paraId="523EC315" w14:textId="77777777" w:rsidR="003267DE" w:rsidRDefault="003267DE" w:rsidP="009E6B72">
    <w:pPr>
      <w:pStyle w:val="Footer"/>
      <w:ind w:hanging="1134"/>
    </w:pPr>
  </w:p>
  <w:p w14:paraId="4CCEDABD" w14:textId="77777777" w:rsidR="003267DE" w:rsidRDefault="003267DE" w:rsidP="009E6B72">
    <w:pPr>
      <w:pStyle w:val="Footer"/>
      <w:ind w:hanging="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1CDC" w14:textId="77777777" w:rsidR="003267DE" w:rsidRDefault="003267DE" w:rsidP="007C4729">
    <w:pPr>
      <w:pStyle w:val="Header"/>
    </w:pPr>
  </w:p>
  <w:p w14:paraId="0EAB0781" w14:textId="77777777" w:rsidR="003267DE" w:rsidRDefault="003267DE" w:rsidP="007C4729">
    <w:r>
      <w:rPr>
        <w:noProof/>
        <w:lang w:eastAsia="en-AU"/>
      </w:rPr>
      <mc:AlternateContent>
        <mc:Choice Requires="wps">
          <w:drawing>
            <wp:anchor distT="0" distB="0" distL="114300" distR="114300" simplePos="0" relativeHeight="251673088" behindDoc="0" locked="0" layoutInCell="1" allowOverlap="1" wp14:anchorId="2880AB9E" wp14:editId="6B4494C7">
              <wp:simplePos x="0" y="0"/>
              <wp:positionH relativeFrom="column">
                <wp:posOffset>-187984</wp:posOffset>
              </wp:positionH>
              <wp:positionV relativeFrom="paragraph">
                <wp:posOffset>183515</wp:posOffset>
              </wp:positionV>
              <wp:extent cx="5883215" cy="0"/>
              <wp:effectExtent l="0" t="19050" r="22860" b="19050"/>
              <wp:wrapNone/>
              <wp:docPr id="16" name="Straight Connector 16"/>
              <wp:cNvGraphicFramePr/>
              <a:graphic xmlns:a="http://schemas.openxmlformats.org/drawingml/2006/main">
                <a:graphicData uri="http://schemas.microsoft.com/office/word/2010/wordprocessingShape">
                  <wps:wsp>
                    <wps:cNvCnPr/>
                    <wps:spPr>
                      <a:xfrm>
                        <a:off x="0" y="0"/>
                        <a:ext cx="58832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B63CC" id="Straight Connector 1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14.45pt" to="448.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MswwEAANYDAAAOAAAAZHJzL2Uyb0RvYy54bWysU02P0zAQvSPxHyzfaZKiLlXUdA9dwQVB&#10;xbI/wOuMG0v+0tg06b9n7LRZBEgIxMWxPfPezHue7O4na9gZMGrvOt6sas7ASd9rd+r409f3b7ac&#10;xSRcL4x30PELRH6/f/1qN4YW1n7wpgdkROJiO4aODymFtqqiHMCKuPIBHAWVRysSHfFU9ShGYrem&#10;Wtf1XTV67AN6CTHS7cMc5PvCrxTI9FmpCImZjlNvqaxY1ue8VvudaE8owqDltQ3xD11YoR0VXage&#10;RBLsG+pfqKyW6KNXaSW9rbxSWkLRQGqa+ic1j4MIULSQOTEsNsX/Rys/nY/IdE9vd8eZE5be6DGh&#10;0KchsYN3jhz0yChITo0htgQ4uCNeTzEcMcueFNr8JUFsKu5eFndhSkzS5Wa7fbtuNpzJW6x6AQaM&#10;6QN4y/Km40a7LFy04vwxJipGqbeUfG0cGzu+3m7ebXJjVe5s7qXs0sXAnPYFFKmj6k2hK3MFB4Ps&#10;LGgihJTgUlMoMillZ5jSxizA+s/Aa36GQpm5vwEviFLZu7SArXYef1c9TbeW1Zx/c2DWnS149v2l&#10;vFKxhoanWHgd9DydP54L/OV33H8HAAD//wMAUEsDBBQABgAIAAAAIQB7N1MR3QAAAAkBAAAPAAAA&#10;ZHJzL2Rvd25yZXYueG1sTI9NS8NAEIbvgv9hGcFbuzFISGI2pRYqeDFYPXicZqdJ6H6E7LaN/94R&#10;D/Y2Hw/vPFOtZmvEmaYweKfgYZmAINd6PbhOwefHdpGDCBGdRuMdKfimAKv69qbCUvuLe6fzLnaC&#10;Q1woUUEf41hKGdqeLIalH8nx7uAni5HbqZN6wguHWyPTJMmkxcHxhR5H2vTUHncnqyBmb1/Ny7PB&#10;Y7/dtI+Naeh1bpS6v5vXTyAizfEfhl99Voeanfb+5HQQRsEiLTJGFaR5AYKBvMi42P8NZF3J6w/q&#10;HwAAAP//AwBQSwECLQAUAAYACAAAACEAtoM4kv4AAADhAQAAEwAAAAAAAAAAAAAAAAAAAAAAW0Nv&#10;bnRlbnRfVHlwZXNdLnhtbFBLAQItABQABgAIAAAAIQA4/SH/1gAAAJQBAAALAAAAAAAAAAAAAAAA&#10;AC8BAABfcmVscy8ucmVsc1BLAQItABQABgAIAAAAIQCCmPMswwEAANYDAAAOAAAAAAAAAAAAAAAA&#10;AC4CAABkcnMvZTJvRG9jLnhtbFBLAQItABQABgAIAAAAIQB7N1MR3QAAAAkBAAAPAAAAAAAAAAAA&#10;AAAAAB0EAABkcnMvZG93bnJldi54bWxQSwUGAAAAAAQABADzAAAAJwUAAAAA&#10;" strokecolor="#0e46de [3044]" strokeweight="2.25pt"/>
          </w:pict>
        </mc:Fallback>
      </mc:AlternateContent>
    </w:r>
  </w:p>
  <w:p w14:paraId="524BA2B3" w14:textId="77777777" w:rsidR="003267DE" w:rsidRDefault="003267DE" w:rsidP="007C4729">
    <w:pPr>
      <w:pStyle w:val="Footer"/>
    </w:pPr>
  </w:p>
  <w:p w14:paraId="3AAD87C4" w14:textId="77777777" w:rsidR="003267DE" w:rsidRDefault="003267DE" w:rsidP="007C4729"/>
  <w:p w14:paraId="2E3E42C5" w14:textId="77777777" w:rsidR="003267DE" w:rsidRDefault="00326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41B82" w14:textId="77777777" w:rsidR="00FF0F09" w:rsidRPr="00C361AD" w:rsidRDefault="00FF0F09" w:rsidP="00185154">
      <w:pPr>
        <w:rPr>
          <w:color w:val="0F4BEB" w:themeColor="accent1"/>
        </w:rPr>
      </w:pPr>
      <w:bookmarkStart w:id="0" w:name="_Hlk483310346"/>
      <w:bookmarkEnd w:id="0"/>
      <w:r w:rsidRPr="00C361AD">
        <w:rPr>
          <w:color w:val="0F4BEB" w:themeColor="accent1"/>
        </w:rPr>
        <w:separator/>
      </w:r>
    </w:p>
    <w:p w14:paraId="73E03A9E" w14:textId="77777777" w:rsidR="00FF0F09" w:rsidRPr="00C361AD" w:rsidRDefault="00FF0F09">
      <w:pPr>
        <w:rPr>
          <w:sz w:val="4"/>
          <w:szCs w:val="4"/>
        </w:rPr>
      </w:pPr>
    </w:p>
  </w:footnote>
  <w:footnote w:type="continuationSeparator" w:id="0">
    <w:p w14:paraId="31EAEC63" w14:textId="77777777" w:rsidR="00FF0F09" w:rsidRDefault="00FF0F09" w:rsidP="00185154">
      <w:r>
        <w:continuationSeparator/>
      </w:r>
    </w:p>
    <w:p w14:paraId="1C7B64EA" w14:textId="77777777" w:rsidR="00FF0F09" w:rsidRDefault="00FF0F09"/>
  </w:footnote>
  <w:footnote w:id="1">
    <w:p w14:paraId="42F1B2BB" w14:textId="4AB55874" w:rsidR="00862338" w:rsidRDefault="00862338" w:rsidP="00862338">
      <w:pPr>
        <w:pStyle w:val="FootnoteText"/>
      </w:pPr>
      <w:r>
        <w:rPr>
          <w:rStyle w:val="FootnoteReference"/>
        </w:rPr>
        <w:footnoteRef/>
      </w:r>
      <w:r>
        <w:t xml:space="preserve"> </w:t>
      </w:r>
      <w:r>
        <w:fldChar w:fldCharType="begin"/>
      </w:r>
      <w:r w:rsidR="005524ED">
        <w:instrText xml:space="preserve"> ADDIN ZOTERO_ITEM CSL_CITATION {"citationID":"9trtaXW9","properties":{"formattedCitation":"C Wardle &amp; H Derakhshan, {\\i{}Information disorder: Toward an interdisciplinary framework for research and policymaking}, Council of Europe, 27 September 2017.","plainCitation":"C Wardle &amp; H Derakhshan, Information disorder: Toward an interdisciplinary framework for research and policymaking, Council of Europe, 27 September 2017.","noteIndex":1},"citationItems":[{"id":2664,"uris":["http://zotero.org/users/9546671/items/WRVDVKH5"],"itemData":{"id":2664,"type":"report","abstract":"While the historical impact of rumours and fabricated content has been well documented, efforts to better understand today’s challenge of information pollution on a global scale are only just beginning. Concern about the implications of dis-information campaigns designed specifically to sow mistrust and confusion and to sharpen existing sociocultural divisions using nationalistic, ethnic, racial and religious tensions is growing. The Council of Europe report on “Information Disorder: Toward an interdisciplinary framework for research and policy making” is an attempt to comprehensively examine information disorder and to outline ways to address it.","number":"DGI(2017)09","publisher":"Council of Europe","title":"Information disorder: Toward an interdisciplinary framework for research and policymaking","title-short":"INFORMATION DISORDER","author":[{"family":"Wardle","given":"Claire"},{"family":"Derakhshan","given":"Hossein"}],"issued":{"date-parts":[["2017",9,27]]}}}],"schema":"https://github.com/citation-style-language/schema/raw/master/csl-citation.json"} </w:instrText>
      </w:r>
      <w:r>
        <w:fldChar w:fldCharType="separate"/>
      </w:r>
      <w:r w:rsidRPr="00862338">
        <w:t xml:space="preserve">C Wardle &amp; H Derakhshan, </w:t>
      </w:r>
      <w:r w:rsidRPr="00862338">
        <w:rPr>
          <w:i/>
          <w:iCs/>
        </w:rPr>
        <w:t>Information disorder: Toward an interdisciplinary framework for research and policymaking</w:t>
      </w:r>
      <w:r w:rsidRPr="00862338">
        <w:t>, Council of Europe, 27 September 2017.</w:t>
      </w:r>
      <w:r>
        <w:fldChar w:fldCharType="end"/>
      </w:r>
    </w:p>
  </w:footnote>
  <w:footnote w:id="2">
    <w:p w14:paraId="2CEB5580" w14:textId="77777777" w:rsidR="00E4386A" w:rsidRDefault="00E4386A" w:rsidP="00E4386A">
      <w:pPr>
        <w:pStyle w:val="FootnoteText"/>
      </w:pPr>
      <w:r>
        <w:rPr>
          <w:rStyle w:val="FootnoteReference"/>
        </w:rPr>
        <w:footnoteRef/>
      </w:r>
      <w:r>
        <w:t xml:space="preserve"> Based on ibid., p .20.</w:t>
      </w:r>
    </w:p>
  </w:footnote>
  <w:footnote w:id="3">
    <w:p w14:paraId="6198D38B" w14:textId="6907524A" w:rsidR="00537137" w:rsidRDefault="00537137">
      <w:pPr>
        <w:pStyle w:val="FootnoteText"/>
      </w:pPr>
      <w:r>
        <w:rPr>
          <w:rStyle w:val="FootnoteReference"/>
        </w:rPr>
        <w:footnoteRef/>
      </w:r>
      <w:r>
        <w:t xml:space="preserve"> </w:t>
      </w:r>
      <w:r w:rsidRPr="00537137">
        <w:t xml:space="preserve">M Montgomery, </w:t>
      </w:r>
      <w:r w:rsidRPr="00537137">
        <w:rPr>
          <w:i/>
          <w:iCs/>
        </w:rPr>
        <w:t xml:space="preserve">Disinformation as a wicked problem: Why we need co-regulatory frameworks, </w:t>
      </w:r>
      <w:r w:rsidRPr="00537137">
        <w:t xml:space="preserve">Brookings Institution, 20 August 2020, </w:t>
      </w:r>
      <w:hyperlink r:id="rId1" w:history="1">
        <w:r w:rsidRPr="002C72A3">
          <w:rPr>
            <w:rStyle w:val="Hyperlink"/>
          </w:rPr>
          <w:t>https://www.brookings.edu/research/disinformation-as-a-wicked-problem-why-we-need-co-regulatory-frameworks/</w:t>
        </w:r>
      </w:hyperlink>
      <w:r>
        <w:t xml:space="preserve"> </w:t>
      </w:r>
    </w:p>
  </w:footnote>
  <w:footnote w:id="4">
    <w:p w14:paraId="6207CCFB" w14:textId="504937CE" w:rsidR="00C7629E" w:rsidRDefault="00C7629E">
      <w:pPr>
        <w:pStyle w:val="FootnoteText"/>
      </w:pPr>
      <w:r>
        <w:rPr>
          <w:rStyle w:val="FootnoteReference"/>
        </w:rPr>
        <w:footnoteRef/>
      </w:r>
      <w:r>
        <w:t xml:space="preserve"> </w:t>
      </w:r>
      <w:r>
        <w:fldChar w:fldCharType="begin"/>
      </w:r>
      <w:r w:rsidR="003309B2">
        <w:instrText xml:space="preserve"> ADDIN ZOTERO_ITEM CSL_CITATION {"citationID":"nhwpJjZP","properties":{"formattedCitation":"J Pamment, {\\i{}he EU Code of Practice on Disinforma- tion: Briefing note for the new EU Commission.}, Partnership for Countering Influence Operations: Policy Perspectives Series, Carnegie Endowment for International Peace, &lt;https://carnegieendowment.org/2020/03/03/eu-code-of-practice-on-disinformation-briefing-note-for-new-european-commission-pub-81187&gt;.","plainCitation":"J Pamment, he EU Code of Practice on Disinforma- tion: Briefing note for the new EU Commission., Partnership for Countering Influence Operations: Policy Perspectives Series, Carnegie Endowment for International Peace, &lt;https://carnegieendowment.org/2020/03/03/eu-code-of-practice-on-disinformation-briefing-note-for-new-european-commission-pub-81187&gt;.","noteIndex":4},"citationItems":[{"id":3456,"uris":["http://zotero.org/users/9546671/items/J6AKPCKI"],"itemData":{"id":3456,"type":"report","collection-title":"Partnership for Countering Influence Operations: policy perspectives series","publisher":"Carnegie Endowment for International Peace","title":"he EU Code of Practice on Disinforma- tion: Briefing note for the new EU Commission.","URL":"https://carnegieendowment.org/2020/03/03/eu-code-of-practice-on-disinformation-briefing-note-for-new-european-commission-pub-81187","author":[{"family":"Pamment","given":"J"}]}}],"schema":"https://github.com/citation-style-language/schema/raw/master/csl-citation.json"} </w:instrText>
      </w:r>
      <w:r>
        <w:fldChar w:fldCharType="separate"/>
      </w:r>
      <w:r w:rsidR="003309B2" w:rsidRPr="003309B2">
        <w:rPr>
          <w:lang w:val="en-US"/>
        </w:rPr>
        <w:t xml:space="preserve">J Pamment, </w:t>
      </w:r>
      <w:r w:rsidR="003309B2">
        <w:rPr>
          <w:i/>
          <w:iCs/>
          <w:lang w:val="en-US"/>
        </w:rPr>
        <w:t>T</w:t>
      </w:r>
      <w:r w:rsidR="003309B2" w:rsidRPr="003309B2">
        <w:rPr>
          <w:i/>
          <w:iCs/>
          <w:lang w:val="en-US"/>
        </w:rPr>
        <w:t>he EU Code of Practice on Disinforma- tion: Briefing note for the new EU Commission.</w:t>
      </w:r>
      <w:r w:rsidR="003309B2" w:rsidRPr="003309B2">
        <w:rPr>
          <w:lang w:val="en-US"/>
        </w:rPr>
        <w:t>, Partnership for Countering Influence Operations: Policy Perspectives Series, Carnegie Endowment for International Peace.</w:t>
      </w:r>
      <w:r>
        <w:fldChar w:fldCharType="end"/>
      </w:r>
      <w:r w:rsidR="000763B9">
        <w:t xml:space="preserve"> </w:t>
      </w:r>
      <w:hyperlink r:id="rId2" w:history="1">
        <w:r w:rsidR="000763B9" w:rsidRPr="002C72A3">
          <w:rPr>
            <w:rStyle w:val="Hyperlink"/>
            <w:lang w:val="en-US"/>
          </w:rPr>
          <w:t>https://carnegieendowment.org/2020/03/03/eu-code-of-practice-on-disinformation-briefing-note-for-new-european-commission-pub-81187</w:t>
        </w:r>
      </w:hyperlink>
      <w:r w:rsidR="000763B9">
        <w:rPr>
          <w:lang w:val="en-US"/>
        </w:rPr>
        <w:t xml:space="preserve"> </w:t>
      </w:r>
    </w:p>
  </w:footnote>
  <w:footnote w:id="5">
    <w:p w14:paraId="39436414" w14:textId="001561E6" w:rsidR="000763B9" w:rsidRDefault="000763B9">
      <w:pPr>
        <w:pStyle w:val="FootnoteText"/>
      </w:pPr>
      <w:r>
        <w:rPr>
          <w:rStyle w:val="FootnoteReference"/>
        </w:rPr>
        <w:footnoteRef/>
      </w:r>
      <w:r>
        <w:t xml:space="preserve"> </w:t>
      </w:r>
      <w:r>
        <w:rPr>
          <w:rFonts w:ascii="Helvetica" w:hAnsi="Helvetica" w:cs="Helvetica"/>
          <w:color w:val="141413"/>
          <w:szCs w:val="18"/>
          <w:lang w:val="en-US"/>
        </w:rPr>
        <w:t xml:space="preserve">European Commission. </w:t>
      </w:r>
      <w:r w:rsidRPr="000763B9">
        <w:rPr>
          <w:rFonts w:ascii="Helvetica" w:hAnsi="Helvetica" w:cs="Helvetica"/>
          <w:i/>
          <w:iCs/>
          <w:color w:val="141413"/>
          <w:szCs w:val="18"/>
          <w:lang w:val="en-US"/>
        </w:rPr>
        <w:t>European Democracy Action Plan</w:t>
      </w:r>
      <w:r w:rsidR="00B64BBA">
        <w:rPr>
          <w:rFonts w:ascii="Helvetica" w:hAnsi="Helvetica" w:cs="Helvetica"/>
          <w:color w:val="141413"/>
          <w:szCs w:val="18"/>
          <w:lang w:val="en-US"/>
        </w:rPr>
        <w:t>, 2020.</w:t>
      </w:r>
      <w:r w:rsidR="00F910D6">
        <w:rPr>
          <w:rFonts w:ascii="Helvetica" w:hAnsi="Helvetica" w:cs="Helvetica"/>
          <w:color w:val="141413"/>
          <w:szCs w:val="18"/>
          <w:lang w:val="en-US"/>
        </w:rPr>
        <w:t xml:space="preserve"> </w:t>
      </w:r>
      <w:hyperlink r:id="rId3" w:history="1">
        <w:r w:rsidR="00F910D6" w:rsidRPr="002C72A3">
          <w:rPr>
            <w:rStyle w:val="Hyperlink"/>
            <w:rFonts w:ascii="Helvetica" w:hAnsi="Helvetica" w:cs="Helvetica"/>
            <w:szCs w:val="18"/>
            <w:lang w:val="en-US"/>
          </w:rPr>
          <w:t>https://eur-lex.europa.eu/legal-content/EN/TXT/PDF/?uri=CELEX:52020DC0790&amp;from=EN</w:t>
        </w:r>
      </w:hyperlink>
      <w:r w:rsidR="00F910D6">
        <w:rPr>
          <w:rFonts w:ascii="Helvetica" w:hAnsi="Helvetica" w:cs="Helvetica"/>
          <w:color w:val="141413"/>
          <w:szCs w:val="18"/>
          <w:lang w:val="en-US"/>
        </w:rPr>
        <w:t xml:space="preserve"> </w:t>
      </w:r>
      <w:r w:rsidR="00B64BBA">
        <w:rPr>
          <w:rFonts w:ascii="Helvetica" w:hAnsi="Helvetica" w:cs="Helvetica"/>
          <w:color w:val="141413"/>
          <w:szCs w:val="18"/>
          <w:lang w:val="en-US"/>
        </w:rPr>
        <w:t xml:space="preserve"> </w:t>
      </w:r>
    </w:p>
  </w:footnote>
  <w:footnote w:id="6">
    <w:p w14:paraId="44CBA37C" w14:textId="1122B6FB" w:rsidR="00B64BBA" w:rsidRDefault="00B64BBA">
      <w:pPr>
        <w:pStyle w:val="FootnoteText"/>
      </w:pPr>
      <w:r>
        <w:rPr>
          <w:rStyle w:val="FootnoteReference"/>
        </w:rPr>
        <w:footnoteRef/>
      </w:r>
      <w:r>
        <w:t xml:space="preserve"> </w:t>
      </w:r>
      <w:r>
        <w:rPr>
          <w:rFonts w:ascii="Helvetica" w:hAnsi="Helvetica" w:cs="Helvetica"/>
          <w:color w:val="141413"/>
          <w:szCs w:val="18"/>
          <w:lang w:val="en-US"/>
        </w:rPr>
        <w:t xml:space="preserve">Knight First Amendment Institute. </w:t>
      </w:r>
      <w:proofErr w:type="spellStart"/>
      <w:r>
        <w:rPr>
          <w:rFonts w:ascii="Helvetica" w:hAnsi="Helvetica" w:cs="Helvetica"/>
          <w:color w:val="141413"/>
          <w:szCs w:val="18"/>
          <w:lang w:val="en-US"/>
        </w:rPr>
        <w:t>Netchoice</w:t>
      </w:r>
      <w:proofErr w:type="spellEnd"/>
      <w:r>
        <w:rPr>
          <w:rFonts w:ascii="Helvetica" w:hAnsi="Helvetica" w:cs="Helvetica"/>
          <w:color w:val="141413"/>
          <w:szCs w:val="18"/>
          <w:lang w:val="en-US"/>
        </w:rPr>
        <w:t xml:space="preserve">, LLC v. </w:t>
      </w:r>
      <w:proofErr w:type="spellStart"/>
      <w:r>
        <w:rPr>
          <w:rFonts w:ascii="Helvetica" w:hAnsi="Helvetica" w:cs="Helvetica"/>
          <w:color w:val="141413"/>
          <w:szCs w:val="18"/>
          <w:lang w:val="en-US"/>
        </w:rPr>
        <w:t>Paxto</w:t>
      </w:r>
      <w:proofErr w:type="spellEnd"/>
      <w:r>
        <w:rPr>
          <w:rFonts w:ascii="Helvetica" w:hAnsi="Helvetica" w:cs="Helvetica"/>
          <w:color w:val="141413"/>
          <w:szCs w:val="18"/>
          <w:lang w:val="en-US"/>
        </w:rPr>
        <w:t xml:space="preserve">, 2022. </w:t>
      </w:r>
      <w:hyperlink r:id="rId4" w:history="1">
        <w:r w:rsidR="00F910D6" w:rsidRPr="002C72A3">
          <w:rPr>
            <w:rStyle w:val="Hyperlink"/>
            <w:rFonts w:ascii="Helvetica" w:hAnsi="Helvetica" w:cs="Helvetica"/>
            <w:szCs w:val="18"/>
            <w:lang w:val="en-US"/>
          </w:rPr>
          <w:t>https://knightcolumbia.org/cases/netchoice-llc-v-paxton?mc_cid=4b40d9f463</w:t>
        </w:r>
      </w:hyperlink>
      <w:r w:rsidR="00F910D6">
        <w:rPr>
          <w:rFonts w:ascii="Helvetica" w:hAnsi="Helvetica" w:cs="Helvetica"/>
          <w:color w:val="141413"/>
          <w:szCs w:val="18"/>
          <w:lang w:val="en-US"/>
        </w:rPr>
        <w:t xml:space="preserve"> </w:t>
      </w:r>
    </w:p>
  </w:footnote>
  <w:footnote w:id="7">
    <w:p w14:paraId="1364AAD4" w14:textId="3DEE94FF" w:rsidR="00EB3339" w:rsidRDefault="00EB3339">
      <w:pPr>
        <w:pStyle w:val="FootnoteText"/>
      </w:pPr>
      <w:r>
        <w:rPr>
          <w:rStyle w:val="FootnoteReference"/>
        </w:rPr>
        <w:footnoteRef/>
      </w:r>
      <w:r>
        <w:t xml:space="preserve"> </w:t>
      </w:r>
      <w:r>
        <w:rPr>
          <w:rFonts w:ascii="Helvetica" w:hAnsi="Helvetica" w:cs="Helvetica"/>
          <w:color w:val="141413"/>
          <w:szCs w:val="18"/>
          <w:lang w:val="en-US"/>
        </w:rPr>
        <w:t xml:space="preserve">Carson, A. (2021). </w:t>
      </w:r>
      <w:r w:rsidRPr="00EB3339">
        <w:rPr>
          <w:rFonts w:ascii="Helvetica" w:hAnsi="Helvetica" w:cs="Helvetica"/>
          <w:i/>
          <w:iCs/>
          <w:color w:val="141413"/>
          <w:szCs w:val="18"/>
          <w:lang w:val="en-US"/>
        </w:rPr>
        <w:t>Fighting fake news: A study of online misinformation regulation in the Asia Pacific.</w:t>
      </w:r>
      <w:r>
        <w:rPr>
          <w:rFonts w:ascii="Helvetica" w:hAnsi="Helvetica" w:cs="Helvetica"/>
          <w:color w:val="141413"/>
          <w:szCs w:val="18"/>
          <w:lang w:val="en-US"/>
        </w:rPr>
        <w:t xml:space="preserve"> </w:t>
      </w:r>
      <w:proofErr w:type="spellStart"/>
      <w:r>
        <w:rPr>
          <w:rFonts w:ascii="Helvetica" w:hAnsi="Helvetica" w:cs="Helvetica"/>
          <w:color w:val="141413"/>
          <w:szCs w:val="18"/>
          <w:lang w:val="en-US"/>
        </w:rPr>
        <w:t>LaTrobe</w:t>
      </w:r>
      <w:proofErr w:type="spellEnd"/>
      <w:r>
        <w:rPr>
          <w:rFonts w:ascii="Helvetica" w:hAnsi="Helvetica" w:cs="Helvetica"/>
          <w:color w:val="141413"/>
          <w:szCs w:val="18"/>
          <w:lang w:val="en-US"/>
        </w:rPr>
        <w:t xml:space="preserve"> University. </w:t>
      </w:r>
      <w:hyperlink r:id="rId5" w:history="1">
        <w:r w:rsidR="00F910D6" w:rsidRPr="002C72A3">
          <w:rPr>
            <w:rStyle w:val="Hyperlink"/>
            <w:rFonts w:ascii="Helvetica" w:hAnsi="Helvetica" w:cs="Helvetica"/>
            <w:szCs w:val="18"/>
            <w:lang w:val="en-US"/>
          </w:rPr>
          <w:t>https://www.latrobe.edu.au/__data/assets/pdf_file/0019/1203553/carson-fake-news.pdf</w:t>
        </w:r>
      </w:hyperlink>
      <w:r w:rsidR="00F910D6">
        <w:rPr>
          <w:rFonts w:ascii="Helvetica" w:hAnsi="Helvetica" w:cs="Helvetica"/>
          <w:color w:val="141413"/>
          <w:szCs w:val="18"/>
          <w:lang w:val="en-US"/>
        </w:rPr>
        <w:t xml:space="preserve">  </w:t>
      </w:r>
    </w:p>
  </w:footnote>
  <w:footnote w:id="8">
    <w:p w14:paraId="60499BBF" w14:textId="121B7A2F" w:rsidR="00EB3339" w:rsidRDefault="00EB3339">
      <w:pPr>
        <w:pStyle w:val="FootnoteText"/>
      </w:pPr>
      <w:r>
        <w:rPr>
          <w:rStyle w:val="FootnoteReference"/>
        </w:rPr>
        <w:footnoteRef/>
      </w:r>
      <w:r>
        <w:t xml:space="preserve"> Ibid.</w:t>
      </w:r>
    </w:p>
  </w:footnote>
  <w:footnote w:id="9">
    <w:p w14:paraId="016B19E9" w14:textId="6D08AEA0" w:rsidR="008E46D3" w:rsidRDefault="008E46D3">
      <w:pPr>
        <w:pStyle w:val="FootnoteText"/>
      </w:pPr>
      <w:r>
        <w:rPr>
          <w:rStyle w:val="FootnoteReference"/>
        </w:rPr>
        <w:footnoteRef/>
      </w:r>
      <w:r w:rsidR="00F910D6">
        <w:t xml:space="preserve"> </w:t>
      </w:r>
      <w:proofErr w:type="spellStart"/>
      <w:r w:rsidR="00F910D6">
        <w:t>Civicus</w:t>
      </w:r>
      <w:proofErr w:type="spellEnd"/>
      <w:r w:rsidR="00F910D6">
        <w:t>. ‘</w:t>
      </w:r>
      <w:r w:rsidR="00F910D6" w:rsidRPr="00F910D6">
        <w:t>Freedom of expression at risk as cybercrime legislation used to prosecute online critics in Vanuatu</w:t>
      </w:r>
      <w:r w:rsidR="00F910D6">
        <w:t>’</w:t>
      </w:r>
      <w:r w:rsidR="00F910D6" w:rsidRPr="00F910D6">
        <w:t xml:space="preserve"> </w:t>
      </w:r>
      <w:r w:rsidR="00F910D6">
        <w:t xml:space="preserve">in </w:t>
      </w:r>
      <w:proofErr w:type="spellStart"/>
      <w:r w:rsidR="00F910D6" w:rsidRPr="00F910D6">
        <w:rPr>
          <w:i/>
          <w:iCs/>
        </w:rPr>
        <w:t>Civicus</w:t>
      </w:r>
      <w:proofErr w:type="spellEnd"/>
      <w:r w:rsidR="00F910D6" w:rsidRPr="00F910D6">
        <w:rPr>
          <w:i/>
          <w:iCs/>
        </w:rPr>
        <w:t xml:space="preserve"> Monitor</w:t>
      </w:r>
      <w:r w:rsidR="00F910D6">
        <w:t>, 14 June 2022.</w:t>
      </w:r>
      <w:r>
        <w:t xml:space="preserve"> </w:t>
      </w:r>
      <w:hyperlink r:id="rId6" w:history="1">
        <w:r w:rsidR="00104AC5" w:rsidRPr="002C72A3">
          <w:rPr>
            <w:rStyle w:val="Hyperlink"/>
          </w:rPr>
          <w:t>https://monitor.civicus.org/updates/2022/06/14/freedom-expression-risk-cybercrime-legislation-used-prosecute-online-critics-vanuatu/</w:t>
        </w:r>
      </w:hyperlink>
      <w:r w:rsidR="00104AC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208EF" w14:textId="77777777" w:rsidR="00862338" w:rsidRDefault="0086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8207" w14:textId="77777777" w:rsidR="00862338" w:rsidRDefault="0086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323E" w14:textId="77777777" w:rsidR="00862338" w:rsidRDefault="0086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C5"/>
    <w:multiLevelType w:val="multilevel"/>
    <w:tmpl w:val="4BE8981A"/>
    <w:styleLink w:val="ListParagraph0"/>
    <w:lvl w:ilvl="0">
      <w:start w:val="1"/>
      <w:numFmt w:val="none"/>
      <w:pStyle w:val="ListParagraph"/>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7284AE9"/>
    <w:multiLevelType w:val="multilevel"/>
    <w:tmpl w:val="0B96E482"/>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sz w:val="18"/>
      </w:rPr>
    </w:lvl>
    <w:lvl w:ilvl="1">
      <w:start w:val="1"/>
      <w:numFmt w:val="lowerRoman"/>
      <w:pStyle w:val="ListAlpha2"/>
      <w:lvlText w:val="%2."/>
      <w:lvlJc w:val="left"/>
      <w:pPr>
        <w:tabs>
          <w:tab w:val="num" w:pos="850"/>
        </w:tabs>
        <w:ind w:left="850" w:hanging="425"/>
      </w:pPr>
      <w:rPr>
        <w:rFonts w:asciiTheme="minorHAnsi" w:hAnsiTheme="minorHAnsi" w:hint="default"/>
        <w:color w:val="auto"/>
        <w:sz w:val="18"/>
      </w:rPr>
    </w:lvl>
    <w:lvl w:ilvl="2">
      <w:start w:val="1"/>
      <w:numFmt w:val="decimal"/>
      <w:pStyle w:val="ListAlpha3"/>
      <w:lvlText w:val="%3."/>
      <w:lvlJc w:val="left"/>
      <w:pPr>
        <w:tabs>
          <w:tab w:val="num" w:pos="1275"/>
        </w:tabs>
        <w:ind w:left="1275" w:hanging="425"/>
      </w:pPr>
      <w:rPr>
        <w:rFonts w:asciiTheme="minorHAnsi" w:hAnsiTheme="minorHAnsi" w:hint="default"/>
        <w:color w:val="auto"/>
        <w:sz w:val="18"/>
      </w:rPr>
    </w:lvl>
    <w:lvl w:ilvl="3">
      <w:start w:val="1"/>
      <w:numFmt w:val="upperLetter"/>
      <w:pStyle w:val="ListAlpha4"/>
      <w:lvlText w:val="%4."/>
      <w:lvlJc w:val="left"/>
      <w:pPr>
        <w:tabs>
          <w:tab w:val="num" w:pos="1700"/>
        </w:tabs>
        <w:ind w:left="1700" w:hanging="425"/>
      </w:pPr>
      <w:rPr>
        <w:rFonts w:asciiTheme="minorHAnsi" w:hAnsiTheme="minorHAnsi" w:hint="default"/>
        <w:color w:val="auto"/>
        <w:sz w:val="18"/>
      </w:rPr>
    </w:lvl>
    <w:lvl w:ilvl="4">
      <w:start w:val="1"/>
      <w:numFmt w:val="upperRoman"/>
      <w:pStyle w:val="ListAlpha5"/>
      <w:lvlText w:val="%5."/>
      <w:lvlJc w:val="left"/>
      <w:pPr>
        <w:tabs>
          <w:tab w:val="num" w:pos="2125"/>
        </w:tabs>
        <w:ind w:left="2125" w:hanging="425"/>
      </w:pPr>
      <w:rPr>
        <w:rFonts w:asciiTheme="minorHAnsi" w:hAnsiTheme="minorHAnsi" w:hint="default"/>
        <w:color w:val="auto"/>
        <w:sz w:val="18"/>
      </w:rPr>
    </w:lvl>
    <w:lvl w:ilvl="5">
      <w:start w:val="1"/>
      <w:numFmt w:val="decimal"/>
      <w:pStyle w:val="ListAlpha6"/>
      <w:lvlText w:val="%6."/>
      <w:lvlJc w:val="left"/>
      <w:pPr>
        <w:tabs>
          <w:tab w:val="num" w:pos="2550"/>
        </w:tabs>
        <w:ind w:left="2550" w:hanging="425"/>
      </w:pPr>
      <w:rPr>
        <w:rFonts w:asciiTheme="minorHAnsi" w:hAnsiTheme="minorHAnsi" w:hint="default"/>
        <w:color w:val="auto"/>
        <w:sz w:val="18"/>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2" w15:restartNumberingAfterBreak="0">
    <w:nsid w:val="097B6825"/>
    <w:multiLevelType w:val="hybridMultilevel"/>
    <w:tmpl w:val="B8B6C314"/>
    <w:lvl w:ilvl="0" w:tplc="1DD84F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0312A"/>
    <w:multiLevelType w:val="hybridMultilevel"/>
    <w:tmpl w:val="B198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E3DBD"/>
    <w:multiLevelType w:val="hybridMultilevel"/>
    <w:tmpl w:val="7F2C1DDE"/>
    <w:lvl w:ilvl="0" w:tplc="0C090001">
      <w:start w:val="1"/>
      <w:numFmt w:val="bullet"/>
      <w:lvlText w:val=""/>
      <w:lvlJc w:val="left"/>
      <w:pPr>
        <w:ind w:left="720" w:hanging="360"/>
      </w:pPr>
      <w:rPr>
        <w:rFonts w:ascii="Symbol" w:hAnsi="Symbol" w:hint="default"/>
      </w:rPr>
    </w:lvl>
    <w:lvl w:ilvl="1" w:tplc="31C0DFB2">
      <w:numFmt w:val="bullet"/>
      <w:lvlText w:val="•"/>
      <w:lvlJc w:val="left"/>
      <w:pPr>
        <w:ind w:left="1800" w:hanging="720"/>
      </w:pPr>
      <w:rPr>
        <w:rFonts w:ascii="Calibri" w:eastAsia="Times New Roman" w:hAnsi="Calibri" w:cs="Calibri"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C10FD0"/>
    <w:multiLevelType w:val="hybridMultilevel"/>
    <w:tmpl w:val="B35A039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F44CFB"/>
    <w:multiLevelType w:val="hybridMultilevel"/>
    <w:tmpl w:val="209A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72FAA"/>
    <w:multiLevelType w:val="multilevel"/>
    <w:tmpl w:val="736ECFBA"/>
    <w:numStyleLink w:val="ListTableNumber"/>
  </w:abstractNum>
  <w:abstractNum w:abstractNumId="8" w15:restartNumberingAfterBreak="0">
    <w:nsid w:val="0CCD4DAA"/>
    <w:multiLevelType w:val="multilevel"/>
    <w:tmpl w:val="F78A1DCA"/>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9" w15:restartNumberingAfterBreak="0">
    <w:nsid w:val="0FB97078"/>
    <w:multiLevelType w:val="multilevel"/>
    <w:tmpl w:val="8D5C9A34"/>
    <w:styleLink w:val="ListChapter"/>
    <w:lvl w:ilvl="0">
      <w:start w:val="1"/>
      <w:numFmt w:val="cardinalText"/>
      <w:suff w:val="nothing"/>
      <w:lvlText w:val="Chapter %1"/>
      <w:lvlJc w:val="left"/>
      <w:pPr>
        <w:ind w:left="0" w:firstLine="0"/>
      </w:pPr>
      <w:rPr>
        <w:rFonts w:hint="default"/>
      </w:rPr>
    </w:lvl>
    <w:lvl w:ilvl="1">
      <w:start w:val="1"/>
      <w:numFmt w:val="none"/>
      <w:suff w:val="nothing"/>
      <w:lvlText w:val=""/>
      <w:lvlJc w:val="left"/>
      <w:pPr>
        <w:ind w:left="0" w:hanging="32766"/>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0E9626A"/>
    <w:multiLevelType w:val="hybridMultilevel"/>
    <w:tmpl w:val="8B4C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D7685F"/>
    <w:multiLevelType w:val="hybridMultilevel"/>
    <w:tmpl w:val="8734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AC601F"/>
    <w:multiLevelType w:val="hybridMultilevel"/>
    <w:tmpl w:val="AE78C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A71732"/>
    <w:multiLevelType w:val="hybridMultilevel"/>
    <w:tmpl w:val="14FE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41D40"/>
    <w:multiLevelType w:val="multilevel"/>
    <w:tmpl w:val="BE1CBCF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18"/>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18"/>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18"/>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18"/>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18"/>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5" w15:restartNumberingAfterBreak="0">
    <w:nsid w:val="34E14ED3"/>
    <w:multiLevelType w:val="hybridMultilevel"/>
    <w:tmpl w:val="990AB0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53912ED"/>
    <w:multiLevelType w:val="multilevel"/>
    <w:tmpl w:val="ADF89CCA"/>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18"/>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18"/>
        <w:u w:val="none"/>
        <w:vertAlign w:val="baseline"/>
      </w:rPr>
    </w:lvl>
    <w:lvl w:ilvl="2">
      <w:start w:val="1"/>
      <w:numFmt w:val="bullet"/>
      <w:pStyle w:val="ListBullet3"/>
      <w:lvlText w:val=""/>
      <w:lvlJc w:val="left"/>
      <w:pPr>
        <w:tabs>
          <w:tab w:val="num" w:pos="1275"/>
        </w:tabs>
        <w:ind w:left="1275" w:hanging="425"/>
      </w:pPr>
      <w:rPr>
        <w:rFonts w:ascii="Symbol" w:hAnsi="Symbol" w:hint="default"/>
        <w:color w:val="auto"/>
        <w:sz w:val="18"/>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18"/>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18"/>
      </w:rPr>
    </w:lvl>
    <w:lvl w:ilvl="5">
      <w:start w:val="1"/>
      <w:numFmt w:val="bullet"/>
      <w:pStyle w:val="ListBullet6"/>
      <w:lvlText w:val="–"/>
      <w:lvlJc w:val="left"/>
      <w:pPr>
        <w:tabs>
          <w:tab w:val="num" w:pos="2550"/>
        </w:tabs>
        <w:ind w:left="2550" w:hanging="425"/>
      </w:pPr>
      <w:rPr>
        <w:rFonts w:asciiTheme="minorHAnsi" w:hAnsiTheme="minorHAnsi" w:cs="Times New Roman" w:hint="default"/>
        <w:caps w:val="0"/>
        <w:strike w:val="0"/>
        <w:dstrike w:val="0"/>
        <w:vanish w:val="0"/>
        <w:color w:val="auto"/>
        <w:sz w:val="18"/>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7" w15:restartNumberingAfterBreak="0">
    <w:nsid w:val="39B91E45"/>
    <w:multiLevelType w:val="hybridMultilevel"/>
    <w:tmpl w:val="A63A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71FAE"/>
    <w:multiLevelType w:val="multilevel"/>
    <w:tmpl w:val="9D625AA6"/>
    <w:styleLink w:val="ListNumberedHeadings"/>
    <w:lvl w:ilvl="0">
      <w:start w:val="1"/>
      <w:numFmt w:val="decimal"/>
      <w:pStyle w:val="NbrHeading1"/>
      <w:lvlText w:val="%1"/>
      <w:lvlJc w:val="left"/>
      <w:pPr>
        <w:tabs>
          <w:tab w:val="num" w:pos="1134"/>
        </w:tabs>
        <w:ind w:left="1134" w:hanging="1134"/>
      </w:pPr>
      <w:rPr>
        <w:rFonts w:asciiTheme="majorHAnsi" w:hAnsiTheme="majorHAnsi" w:hint="default"/>
        <w:color w:val="0F4BEB" w:themeColor="accent1"/>
      </w:rPr>
    </w:lvl>
    <w:lvl w:ilvl="1">
      <w:start w:val="1"/>
      <w:numFmt w:val="decimal"/>
      <w:pStyle w:val="NbrHeading2"/>
      <w:lvlText w:val="%1.%2"/>
      <w:lvlJc w:val="left"/>
      <w:pPr>
        <w:tabs>
          <w:tab w:val="num" w:pos="1134"/>
        </w:tabs>
        <w:ind w:left="1134" w:hanging="1134"/>
      </w:pPr>
      <w:rPr>
        <w:rFonts w:asciiTheme="majorHAnsi" w:hAnsiTheme="majorHAnsi" w:hint="default"/>
        <w:color w:val="0F4BEB" w:themeColor="accent1"/>
      </w:rPr>
    </w:lvl>
    <w:lvl w:ilvl="2">
      <w:start w:val="1"/>
      <w:numFmt w:val="decimal"/>
      <w:pStyle w:val="NbrHeading3"/>
      <w:lvlText w:val="%1.%2.%3"/>
      <w:lvlJc w:val="left"/>
      <w:pPr>
        <w:tabs>
          <w:tab w:val="num" w:pos="1134"/>
        </w:tabs>
        <w:ind w:left="1134" w:hanging="1134"/>
      </w:pPr>
      <w:rPr>
        <w:rFonts w:asciiTheme="majorHAnsi" w:hAnsiTheme="majorHAnsi" w:hint="default"/>
        <w:color w:val="auto"/>
      </w:rPr>
    </w:lvl>
    <w:lvl w:ilvl="3">
      <w:start w:val="1"/>
      <w:numFmt w:val="decimal"/>
      <w:pStyle w:val="NbrHeading4"/>
      <w:lvlText w:val="%1.%2.%3.%4"/>
      <w:lvlJc w:val="left"/>
      <w:pPr>
        <w:tabs>
          <w:tab w:val="num" w:pos="1134"/>
        </w:tabs>
        <w:ind w:left="1134" w:hanging="1134"/>
      </w:pPr>
      <w:rPr>
        <w:rFonts w:asciiTheme="majorHAnsi" w:hAnsiTheme="majorHAnsi" w:hint="default"/>
        <w:color w:val="auto"/>
        <w:sz w:val="18"/>
      </w:rPr>
    </w:lvl>
    <w:lvl w:ilvl="4">
      <w:start w:val="1"/>
      <w:numFmt w:val="decimal"/>
      <w:pStyle w:val="Nbr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15:restartNumberingAfterBreak="0">
    <w:nsid w:val="43822060"/>
    <w:multiLevelType w:val="hybridMultilevel"/>
    <w:tmpl w:val="66FA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012AC"/>
    <w:multiLevelType w:val="multilevel"/>
    <w:tmpl w:val="ADF89CCA"/>
    <w:numStyleLink w:val="ListBullet"/>
  </w:abstractNum>
  <w:abstractNum w:abstractNumId="21" w15:restartNumberingAfterBreak="0">
    <w:nsid w:val="483E2B4C"/>
    <w:multiLevelType w:val="multilevel"/>
    <w:tmpl w:val="F78A1DCA"/>
    <w:numStyleLink w:val="ListTableBullet"/>
  </w:abstractNum>
  <w:abstractNum w:abstractNumId="22" w15:restartNumberingAfterBreak="0">
    <w:nsid w:val="5CE2059C"/>
    <w:multiLevelType w:val="multilevel"/>
    <w:tmpl w:val="4BE8981A"/>
    <w:numStyleLink w:val="ListParagraph0"/>
  </w:abstractNum>
  <w:abstractNum w:abstractNumId="23" w15:restartNumberingAfterBreak="0">
    <w:nsid w:val="626E5373"/>
    <w:multiLevelType w:val="multilevel"/>
    <w:tmpl w:val="736ECFBA"/>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64F67932"/>
    <w:multiLevelType w:val="hybridMultilevel"/>
    <w:tmpl w:val="A6EE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83269"/>
    <w:multiLevelType w:val="hybridMultilevel"/>
    <w:tmpl w:val="1376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356871"/>
    <w:multiLevelType w:val="multilevel"/>
    <w:tmpl w:val="9D625AA6"/>
    <w:numStyleLink w:val="ListNumberedHeadings"/>
  </w:abstractNum>
  <w:abstractNum w:abstractNumId="27" w15:restartNumberingAfterBreak="0">
    <w:nsid w:val="73A42999"/>
    <w:multiLevelType w:val="hybridMultilevel"/>
    <w:tmpl w:val="32B8499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94600"/>
    <w:multiLevelType w:val="multilevel"/>
    <w:tmpl w:val="0B96E482"/>
    <w:numStyleLink w:val="ListAlpha"/>
  </w:abstractNum>
  <w:abstractNum w:abstractNumId="29" w15:restartNumberingAfterBreak="0">
    <w:nsid w:val="768819B8"/>
    <w:multiLevelType w:val="hybridMultilevel"/>
    <w:tmpl w:val="693CB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1F68CD"/>
    <w:multiLevelType w:val="hybridMultilevel"/>
    <w:tmpl w:val="E6609E7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A84F7B"/>
    <w:multiLevelType w:val="multilevel"/>
    <w:tmpl w:val="BE1CBCF8"/>
    <w:numStyleLink w:val="ListNumber"/>
  </w:abstractNum>
  <w:abstractNum w:abstractNumId="32" w15:restartNumberingAfterBreak="0">
    <w:nsid w:val="7DF43F15"/>
    <w:multiLevelType w:val="hybridMultilevel"/>
    <w:tmpl w:val="2C9CA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4"/>
  </w:num>
  <w:num w:numId="4">
    <w:abstractNumId w:val="18"/>
  </w:num>
  <w:num w:numId="5">
    <w:abstractNumId w:val="0"/>
  </w:num>
  <w:num w:numId="6">
    <w:abstractNumId w:val="8"/>
  </w:num>
  <w:num w:numId="7">
    <w:abstractNumId w:val="23"/>
  </w:num>
  <w:num w:numId="8">
    <w:abstractNumId w:val="28"/>
  </w:num>
  <w:num w:numId="9">
    <w:abstractNumId w:val="20"/>
  </w:num>
  <w:num w:numId="10">
    <w:abstractNumId w:val="31"/>
  </w:num>
  <w:num w:numId="11">
    <w:abstractNumId w:val="22"/>
  </w:num>
  <w:num w:numId="12">
    <w:abstractNumId w:val="21"/>
  </w:num>
  <w:num w:numId="13">
    <w:abstractNumId w:val="7"/>
  </w:num>
  <w:num w:numId="14">
    <w:abstractNumId w:val="9"/>
  </w:num>
  <w:num w:numId="15">
    <w:abstractNumId w:val="26"/>
  </w:num>
  <w:num w:numId="16">
    <w:abstractNumId w:val="25"/>
  </w:num>
  <w:num w:numId="17">
    <w:abstractNumId w:val="32"/>
  </w:num>
  <w:num w:numId="18">
    <w:abstractNumId w:val="4"/>
  </w:num>
  <w:num w:numId="19">
    <w:abstractNumId w:val="29"/>
  </w:num>
  <w:num w:numId="20">
    <w:abstractNumId w:val="12"/>
  </w:num>
  <w:num w:numId="21">
    <w:abstractNumId w:val="15"/>
  </w:num>
  <w:num w:numId="22">
    <w:abstractNumId w:val="13"/>
  </w:num>
  <w:num w:numId="23">
    <w:abstractNumId w:val="10"/>
  </w:num>
  <w:num w:numId="24">
    <w:abstractNumId w:val="17"/>
  </w:num>
  <w:num w:numId="25">
    <w:abstractNumId w:val="3"/>
  </w:num>
  <w:num w:numId="26">
    <w:abstractNumId w:val="19"/>
  </w:num>
  <w:num w:numId="27">
    <w:abstractNumId w:val="11"/>
  </w:num>
  <w:num w:numId="28">
    <w:abstractNumId w:val="24"/>
  </w:num>
  <w:num w:numId="29">
    <w:abstractNumId w:val="30"/>
  </w:num>
  <w:num w:numId="30">
    <w:abstractNumId w:val="27"/>
  </w:num>
  <w:num w:numId="31">
    <w:abstractNumId w:val="5"/>
  </w:num>
  <w:num w:numId="32">
    <w:abstractNumId w:val="6"/>
  </w:num>
  <w:num w:numId="3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987C98B-D8D5-4738-9C4F-06365BF4CFFC}"/>
    <w:docVar w:name="dgnword-eventsink" w:val="819440512"/>
  </w:docVars>
  <w:rsids>
    <w:rsidRoot w:val="00592836"/>
    <w:rsid w:val="00004B59"/>
    <w:rsid w:val="00006100"/>
    <w:rsid w:val="00012538"/>
    <w:rsid w:val="00015198"/>
    <w:rsid w:val="0001601D"/>
    <w:rsid w:val="00017C42"/>
    <w:rsid w:val="000215A0"/>
    <w:rsid w:val="000216D8"/>
    <w:rsid w:val="00024D7F"/>
    <w:rsid w:val="000259FB"/>
    <w:rsid w:val="00027427"/>
    <w:rsid w:val="00027691"/>
    <w:rsid w:val="000329E7"/>
    <w:rsid w:val="00032EC7"/>
    <w:rsid w:val="00033162"/>
    <w:rsid w:val="000364A2"/>
    <w:rsid w:val="000439B1"/>
    <w:rsid w:val="00045822"/>
    <w:rsid w:val="00045DBF"/>
    <w:rsid w:val="0005016A"/>
    <w:rsid w:val="00051102"/>
    <w:rsid w:val="00054B90"/>
    <w:rsid w:val="00056E32"/>
    <w:rsid w:val="00057E66"/>
    <w:rsid w:val="00071C7D"/>
    <w:rsid w:val="00072AFC"/>
    <w:rsid w:val="00074E99"/>
    <w:rsid w:val="000763B9"/>
    <w:rsid w:val="00076F97"/>
    <w:rsid w:val="000778FF"/>
    <w:rsid w:val="000870BB"/>
    <w:rsid w:val="00087D93"/>
    <w:rsid w:val="0009481B"/>
    <w:rsid w:val="000A1393"/>
    <w:rsid w:val="000A3278"/>
    <w:rsid w:val="000A4BE5"/>
    <w:rsid w:val="000B0327"/>
    <w:rsid w:val="000B2447"/>
    <w:rsid w:val="000B2FBC"/>
    <w:rsid w:val="000B3EBE"/>
    <w:rsid w:val="000B6FA1"/>
    <w:rsid w:val="000C0C22"/>
    <w:rsid w:val="000C17E6"/>
    <w:rsid w:val="000C1D1E"/>
    <w:rsid w:val="000C4AEF"/>
    <w:rsid w:val="000C6C30"/>
    <w:rsid w:val="000D05C0"/>
    <w:rsid w:val="000D182E"/>
    <w:rsid w:val="000D21B2"/>
    <w:rsid w:val="000D2D4D"/>
    <w:rsid w:val="000D30FE"/>
    <w:rsid w:val="000D3700"/>
    <w:rsid w:val="000D4C4E"/>
    <w:rsid w:val="000D54FA"/>
    <w:rsid w:val="000D5594"/>
    <w:rsid w:val="000E1436"/>
    <w:rsid w:val="000E3D78"/>
    <w:rsid w:val="000E53FA"/>
    <w:rsid w:val="000E583A"/>
    <w:rsid w:val="000E66F9"/>
    <w:rsid w:val="000F3E09"/>
    <w:rsid w:val="000F4551"/>
    <w:rsid w:val="000F4A35"/>
    <w:rsid w:val="000F4B09"/>
    <w:rsid w:val="000F5136"/>
    <w:rsid w:val="000F5782"/>
    <w:rsid w:val="00104AC5"/>
    <w:rsid w:val="001063C6"/>
    <w:rsid w:val="0012556D"/>
    <w:rsid w:val="001257F2"/>
    <w:rsid w:val="00126427"/>
    <w:rsid w:val="00127318"/>
    <w:rsid w:val="001306B3"/>
    <w:rsid w:val="0013218E"/>
    <w:rsid w:val="001420B5"/>
    <w:rsid w:val="00145CCD"/>
    <w:rsid w:val="001502F4"/>
    <w:rsid w:val="001505D8"/>
    <w:rsid w:val="00153B19"/>
    <w:rsid w:val="00154790"/>
    <w:rsid w:val="00156423"/>
    <w:rsid w:val="001600E5"/>
    <w:rsid w:val="001640E2"/>
    <w:rsid w:val="001722A3"/>
    <w:rsid w:val="00181D6E"/>
    <w:rsid w:val="00182970"/>
    <w:rsid w:val="001829A7"/>
    <w:rsid w:val="001840AA"/>
    <w:rsid w:val="00185154"/>
    <w:rsid w:val="00187A9B"/>
    <w:rsid w:val="0019016D"/>
    <w:rsid w:val="00190357"/>
    <w:rsid w:val="00190CBB"/>
    <w:rsid w:val="0019114D"/>
    <w:rsid w:val="00193B2B"/>
    <w:rsid w:val="001959B9"/>
    <w:rsid w:val="0019612A"/>
    <w:rsid w:val="001A29EF"/>
    <w:rsid w:val="001A5159"/>
    <w:rsid w:val="001A6F45"/>
    <w:rsid w:val="001A75E1"/>
    <w:rsid w:val="001B3215"/>
    <w:rsid w:val="001B3C74"/>
    <w:rsid w:val="001B60FE"/>
    <w:rsid w:val="001B7530"/>
    <w:rsid w:val="001C140F"/>
    <w:rsid w:val="001C1431"/>
    <w:rsid w:val="001C7561"/>
    <w:rsid w:val="001D6F3D"/>
    <w:rsid w:val="001D7303"/>
    <w:rsid w:val="001E0DDB"/>
    <w:rsid w:val="001F027E"/>
    <w:rsid w:val="001F14A4"/>
    <w:rsid w:val="001F16CA"/>
    <w:rsid w:val="001F1990"/>
    <w:rsid w:val="001F72BB"/>
    <w:rsid w:val="002078C1"/>
    <w:rsid w:val="00207998"/>
    <w:rsid w:val="002106C4"/>
    <w:rsid w:val="00210DEF"/>
    <w:rsid w:val="00212135"/>
    <w:rsid w:val="002175C3"/>
    <w:rsid w:val="0022038A"/>
    <w:rsid w:val="00222215"/>
    <w:rsid w:val="00223C92"/>
    <w:rsid w:val="00226FC1"/>
    <w:rsid w:val="00235CE3"/>
    <w:rsid w:val="002372D5"/>
    <w:rsid w:val="0024050D"/>
    <w:rsid w:val="00242AF2"/>
    <w:rsid w:val="0024308E"/>
    <w:rsid w:val="0024354D"/>
    <w:rsid w:val="00244435"/>
    <w:rsid w:val="002473EF"/>
    <w:rsid w:val="0025119D"/>
    <w:rsid w:val="00252201"/>
    <w:rsid w:val="00252238"/>
    <w:rsid w:val="00253EDC"/>
    <w:rsid w:val="00254DD8"/>
    <w:rsid w:val="002578B3"/>
    <w:rsid w:val="00260A54"/>
    <w:rsid w:val="00261C90"/>
    <w:rsid w:val="00265667"/>
    <w:rsid w:val="0027056A"/>
    <w:rsid w:val="00271DA8"/>
    <w:rsid w:val="0027524A"/>
    <w:rsid w:val="0028009F"/>
    <w:rsid w:val="002804D8"/>
    <w:rsid w:val="0028072F"/>
    <w:rsid w:val="002877E4"/>
    <w:rsid w:val="00291EF1"/>
    <w:rsid w:val="0029524A"/>
    <w:rsid w:val="002953DD"/>
    <w:rsid w:val="002969D6"/>
    <w:rsid w:val="002A0FB5"/>
    <w:rsid w:val="002A15EF"/>
    <w:rsid w:val="002B1FA1"/>
    <w:rsid w:val="002B4003"/>
    <w:rsid w:val="002C1767"/>
    <w:rsid w:val="002C1ED2"/>
    <w:rsid w:val="002C4C74"/>
    <w:rsid w:val="002C5B1C"/>
    <w:rsid w:val="002C5D03"/>
    <w:rsid w:val="002D3B2B"/>
    <w:rsid w:val="002D4254"/>
    <w:rsid w:val="002D4447"/>
    <w:rsid w:val="002D4E6E"/>
    <w:rsid w:val="002D5E39"/>
    <w:rsid w:val="002E0DE4"/>
    <w:rsid w:val="002E435E"/>
    <w:rsid w:val="002E5A02"/>
    <w:rsid w:val="002E64E9"/>
    <w:rsid w:val="002E66CC"/>
    <w:rsid w:val="002E6FCD"/>
    <w:rsid w:val="002F16E0"/>
    <w:rsid w:val="002F183D"/>
    <w:rsid w:val="003006C8"/>
    <w:rsid w:val="00301893"/>
    <w:rsid w:val="00306AC1"/>
    <w:rsid w:val="00306B73"/>
    <w:rsid w:val="00306CAC"/>
    <w:rsid w:val="00307C66"/>
    <w:rsid w:val="0031100C"/>
    <w:rsid w:val="0031111A"/>
    <w:rsid w:val="00312E3A"/>
    <w:rsid w:val="0031426D"/>
    <w:rsid w:val="003167DF"/>
    <w:rsid w:val="00316BFA"/>
    <w:rsid w:val="00320C1F"/>
    <w:rsid w:val="003267DE"/>
    <w:rsid w:val="003274F1"/>
    <w:rsid w:val="003309B2"/>
    <w:rsid w:val="00331ACA"/>
    <w:rsid w:val="00335E7A"/>
    <w:rsid w:val="003411DD"/>
    <w:rsid w:val="00342B4E"/>
    <w:rsid w:val="00342F92"/>
    <w:rsid w:val="00343E58"/>
    <w:rsid w:val="00344B04"/>
    <w:rsid w:val="00346A54"/>
    <w:rsid w:val="00346D23"/>
    <w:rsid w:val="0035012A"/>
    <w:rsid w:val="00350F63"/>
    <w:rsid w:val="00351EF5"/>
    <w:rsid w:val="003528DC"/>
    <w:rsid w:val="003530B3"/>
    <w:rsid w:val="0035516C"/>
    <w:rsid w:val="003560EC"/>
    <w:rsid w:val="00357EF8"/>
    <w:rsid w:val="00362495"/>
    <w:rsid w:val="00363499"/>
    <w:rsid w:val="00363581"/>
    <w:rsid w:val="00364C4D"/>
    <w:rsid w:val="0037140F"/>
    <w:rsid w:val="0037398C"/>
    <w:rsid w:val="0037457E"/>
    <w:rsid w:val="00375C97"/>
    <w:rsid w:val="0037618F"/>
    <w:rsid w:val="003812A0"/>
    <w:rsid w:val="003853C1"/>
    <w:rsid w:val="0039115E"/>
    <w:rsid w:val="00392A86"/>
    <w:rsid w:val="00395495"/>
    <w:rsid w:val="0039560F"/>
    <w:rsid w:val="00397F8F"/>
    <w:rsid w:val="003A04C1"/>
    <w:rsid w:val="003A08A5"/>
    <w:rsid w:val="003A21A7"/>
    <w:rsid w:val="003A483A"/>
    <w:rsid w:val="003B0945"/>
    <w:rsid w:val="003B097F"/>
    <w:rsid w:val="003B0CD4"/>
    <w:rsid w:val="003B1D7D"/>
    <w:rsid w:val="003B27D2"/>
    <w:rsid w:val="003B4090"/>
    <w:rsid w:val="003B4DCF"/>
    <w:rsid w:val="003B58D9"/>
    <w:rsid w:val="003C1D24"/>
    <w:rsid w:val="003C2B3F"/>
    <w:rsid w:val="003C367B"/>
    <w:rsid w:val="003D0066"/>
    <w:rsid w:val="003D3B71"/>
    <w:rsid w:val="003D56AF"/>
    <w:rsid w:val="003D7AF5"/>
    <w:rsid w:val="003E0CC9"/>
    <w:rsid w:val="003E0D65"/>
    <w:rsid w:val="003E1CCE"/>
    <w:rsid w:val="003E1EF3"/>
    <w:rsid w:val="003E5319"/>
    <w:rsid w:val="003E5664"/>
    <w:rsid w:val="003E6AF6"/>
    <w:rsid w:val="003E74B4"/>
    <w:rsid w:val="003F385F"/>
    <w:rsid w:val="003F6AC4"/>
    <w:rsid w:val="003F6FF1"/>
    <w:rsid w:val="00403660"/>
    <w:rsid w:val="00404615"/>
    <w:rsid w:val="00404C76"/>
    <w:rsid w:val="00405516"/>
    <w:rsid w:val="00405DBE"/>
    <w:rsid w:val="004062C9"/>
    <w:rsid w:val="00407776"/>
    <w:rsid w:val="00411C1B"/>
    <w:rsid w:val="00411DB3"/>
    <w:rsid w:val="004124B4"/>
    <w:rsid w:val="004131AB"/>
    <w:rsid w:val="004136DF"/>
    <w:rsid w:val="004150C7"/>
    <w:rsid w:val="00417509"/>
    <w:rsid w:val="00421CAF"/>
    <w:rsid w:val="0042225E"/>
    <w:rsid w:val="004226B6"/>
    <w:rsid w:val="00427353"/>
    <w:rsid w:val="004307AD"/>
    <w:rsid w:val="004313DE"/>
    <w:rsid w:val="004355F4"/>
    <w:rsid w:val="0043564D"/>
    <w:rsid w:val="004356E9"/>
    <w:rsid w:val="0043628A"/>
    <w:rsid w:val="00444AE6"/>
    <w:rsid w:val="00444E1E"/>
    <w:rsid w:val="004478FD"/>
    <w:rsid w:val="00452859"/>
    <w:rsid w:val="0045674C"/>
    <w:rsid w:val="00462513"/>
    <w:rsid w:val="004700B3"/>
    <w:rsid w:val="0047108A"/>
    <w:rsid w:val="00472291"/>
    <w:rsid w:val="0047280C"/>
    <w:rsid w:val="004741B6"/>
    <w:rsid w:val="00477123"/>
    <w:rsid w:val="004816A8"/>
    <w:rsid w:val="00486540"/>
    <w:rsid w:val="00491C59"/>
    <w:rsid w:val="0049295B"/>
    <w:rsid w:val="004B2334"/>
    <w:rsid w:val="004B2CB4"/>
    <w:rsid w:val="004B34CC"/>
    <w:rsid w:val="004B3828"/>
    <w:rsid w:val="004B4770"/>
    <w:rsid w:val="004B5893"/>
    <w:rsid w:val="004B758A"/>
    <w:rsid w:val="004B7DAE"/>
    <w:rsid w:val="004C0BEF"/>
    <w:rsid w:val="004C0D5A"/>
    <w:rsid w:val="004C134B"/>
    <w:rsid w:val="004C299A"/>
    <w:rsid w:val="004C5958"/>
    <w:rsid w:val="004C73F1"/>
    <w:rsid w:val="004D2656"/>
    <w:rsid w:val="004D4533"/>
    <w:rsid w:val="004E0C03"/>
    <w:rsid w:val="004E24C9"/>
    <w:rsid w:val="004E3C07"/>
    <w:rsid w:val="004E4621"/>
    <w:rsid w:val="004E52FE"/>
    <w:rsid w:val="004E6C47"/>
    <w:rsid w:val="004E79A4"/>
    <w:rsid w:val="004F0268"/>
    <w:rsid w:val="004F2A3C"/>
    <w:rsid w:val="004F3D6F"/>
    <w:rsid w:val="004F6512"/>
    <w:rsid w:val="005007B2"/>
    <w:rsid w:val="005032D4"/>
    <w:rsid w:val="0051056D"/>
    <w:rsid w:val="00513A61"/>
    <w:rsid w:val="00515EC0"/>
    <w:rsid w:val="005228B1"/>
    <w:rsid w:val="00522BF7"/>
    <w:rsid w:val="0052388F"/>
    <w:rsid w:val="0053070F"/>
    <w:rsid w:val="005331C9"/>
    <w:rsid w:val="00533D51"/>
    <w:rsid w:val="00535F27"/>
    <w:rsid w:val="00537137"/>
    <w:rsid w:val="00540ED7"/>
    <w:rsid w:val="005412EB"/>
    <w:rsid w:val="00541AAB"/>
    <w:rsid w:val="00545124"/>
    <w:rsid w:val="005473B9"/>
    <w:rsid w:val="0054757F"/>
    <w:rsid w:val="0055219D"/>
    <w:rsid w:val="005524ED"/>
    <w:rsid w:val="0055353F"/>
    <w:rsid w:val="00560B54"/>
    <w:rsid w:val="00562433"/>
    <w:rsid w:val="0056633F"/>
    <w:rsid w:val="00567211"/>
    <w:rsid w:val="005713E5"/>
    <w:rsid w:val="005722C2"/>
    <w:rsid w:val="005759FC"/>
    <w:rsid w:val="00582CB6"/>
    <w:rsid w:val="00585E2A"/>
    <w:rsid w:val="00586A37"/>
    <w:rsid w:val="005910D3"/>
    <w:rsid w:val="00591AF2"/>
    <w:rsid w:val="00592836"/>
    <w:rsid w:val="0059292D"/>
    <w:rsid w:val="005930AE"/>
    <w:rsid w:val="00594D7B"/>
    <w:rsid w:val="0059556C"/>
    <w:rsid w:val="005A0993"/>
    <w:rsid w:val="005A435A"/>
    <w:rsid w:val="005A6C5D"/>
    <w:rsid w:val="005A70A2"/>
    <w:rsid w:val="005B0C40"/>
    <w:rsid w:val="005C0D1D"/>
    <w:rsid w:val="005C1AC4"/>
    <w:rsid w:val="005C3631"/>
    <w:rsid w:val="005C41C6"/>
    <w:rsid w:val="005C47F0"/>
    <w:rsid w:val="005C5041"/>
    <w:rsid w:val="005C6B35"/>
    <w:rsid w:val="005D620B"/>
    <w:rsid w:val="005D76A1"/>
    <w:rsid w:val="005E174C"/>
    <w:rsid w:val="005E259B"/>
    <w:rsid w:val="005E2C64"/>
    <w:rsid w:val="005E41F4"/>
    <w:rsid w:val="005E5B57"/>
    <w:rsid w:val="005E6A7A"/>
    <w:rsid w:val="005F3865"/>
    <w:rsid w:val="005F4E56"/>
    <w:rsid w:val="0060085C"/>
    <w:rsid w:val="006023A8"/>
    <w:rsid w:val="006025ED"/>
    <w:rsid w:val="0061089F"/>
    <w:rsid w:val="00620723"/>
    <w:rsid w:val="00623A70"/>
    <w:rsid w:val="00623FA3"/>
    <w:rsid w:val="00625C33"/>
    <w:rsid w:val="00625FC1"/>
    <w:rsid w:val="006330D4"/>
    <w:rsid w:val="00633235"/>
    <w:rsid w:val="006346D6"/>
    <w:rsid w:val="006369C3"/>
    <w:rsid w:val="0064149D"/>
    <w:rsid w:val="006423AE"/>
    <w:rsid w:val="00643E24"/>
    <w:rsid w:val="00652194"/>
    <w:rsid w:val="0065325A"/>
    <w:rsid w:val="00656B41"/>
    <w:rsid w:val="006574E4"/>
    <w:rsid w:val="00663353"/>
    <w:rsid w:val="00666216"/>
    <w:rsid w:val="006717F6"/>
    <w:rsid w:val="00671EDB"/>
    <w:rsid w:val="00674316"/>
    <w:rsid w:val="006745FF"/>
    <w:rsid w:val="006765C2"/>
    <w:rsid w:val="00682F62"/>
    <w:rsid w:val="0068377E"/>
    <w:rsid w:val="00684E74"/>
    <w:rsid w:val="00691743"/>
    <w:rsid w:val="00693FDB"/>
    <w:rsid w:val="006A1801"/>
    <w:rsid w:val="006A4F11"/>
    <w:rsid w:val="006A5663"/>
    <w:rsid w:val="006A5DFC"/>
    <w:rsid w:val="006A708A"/>
    <w:rsid w:val="006B35B4"/>
    <w:rsid w:val="006B7758"/>
    <w:rsid w:val="006B7E15"/>
    <w:rsid w:val="006C17B0"/>
    <w:rsid w:val="006C4DB0"/>
    <w:rsid w:val="006D22C5"/>
    <w:rsid w:val="006D4617"/>
    <w:rsid w:val="006D7105"/>
    <w:rsid w:val="006E6A9E"/>
    <w:rsid w:val="006E77B8"/>
    <w:rsid w:val="006F361F"/>
    <w:rsid w:val="006F3675"/>
    <w:rsid w:val="006F49BF"/>
    <w:rsid w:val="006F6670"/>
    <w:rsid w:val="007000A9"/>
    <w:rsid w:val="007005D5"/>
    <w:rsid w:val="0070151F"/>
    <w:rsid w:val="007033F0"/>
    <w:rsid w:val="007041FD"/>
    <w:rsid w:val="00707D39"/>
    <w:rsid w:val="00711749"/>
    <w:rsid w:val="007132BC"/>
    <w:rsid w:val="007148CD"/>
    <w:rsid w:val="007155B1"/>
    <w:rsid w:val="00722294"/>
    <w:rsid w:val="00724654"/>
    <w:rsid w:val="007256A5"/>
    <w:rsid w:val="00726194"/>
    <w:rsid w:val="00727284"/>
    <w:rsid w:val="00740795"/>
    <w:rsid w:val="0074334D"/>
    <w:rsid w:val="00744F1A"/>
    <w:rsid w:val="00745A36"/>
    <w:rsid w:val="00747DB8"/>
    <w:rsid w:val="007538F7"/>
    <w:rsid w:val="00755F0D"/>
    <w:rsid w:val="00757755"/>
    <w:rsid w:val="00764489"/>
    <w:rsid w:val="00764AFD"/>
    <w:rsid w:val="00766DAD"/>
    <w:rsid w:val="00767D14"/>
    <w:rsid w:val="00770BF1"/>
    <w:rsid w:val="00771B4B"/>
    <w:rsid w:val="00774E81"/>
    <w:rsid w:val="00777192"/>
    <w:rsid w:val="00782FD7"/>
    <w:rsid w:val="00784EC6"/>
    <w:rsid w:val="007850C7"/>
    <w:rsid w:val="00785248"/>
    <w:rsid w:val="007874E3"/>
    <w:rsid w:val="00792838"/>
    <w:rsid w:val="0079638C"/>
    <w:rsid w:val="00797F1E"/>
    <w:rsid w:val="007A5346"/>
    <w:rsid w:val="007A7267"/>
    <w:rsid w:val="007A7CC2"/>
    <w:rsid w:val="007B108F"/>
    <w:rsid w:val="007B6EF7"/>
    <w:rsid w:val="007C1124"/>
    <w:rsid w:val="007C1436"/>
    <w:rsid w:val="007C1BA7"/>
    <w:rsid w:val="007C32F1"/>
    <w:rsid w:val="007C4729"/>
    <w:rsid w:val="007C4ED8"/>
    <w:rsid w:val="007D606A"/>
    <w:rsid w:val="007E0515"/>
    <w:rsid w:val="007E06DF"/>
    <w:rsid w:val="007E0A28"/>
    <w:rsid w:val="007E1D37"/>
    <w:rsid w:val="007E23E2"/>
    <w:rsid w:val="007E54B6"/>
    <w:rsid w:val="007E7B5E"/>
    <w:rsid w:val="007F718B"/>
    <w:rsid w:val="008014DF"/>
    <w:rsid w:val="00817679"/>
    <w:rsid w:val="00817995"/>
    <w:rsid w:val="008200E0"/>
    <w:rsid w:val="00822503"/>
    <w:rsid w:val="00827234"/>
    <w:rsid w:val="008336EF"/>
    <w:rsid w:val="00834F46"/>
    <w:rsid w:val="008362BD"/>
    <w:rsid w:val="00843960"/>
    <w:rsid w:val="00845732"/>
    <w:rsid w:val="0085248B"/>
    <w:rsid w:val="00852C52"/>
    <w:rsid w:val="00854B3B"/>
    <w:rsid w:val="008572D9"/>
    <w:rsid w:val="008617D2"/>
    <w:rsid w:val="00861E13"/>
    <w:rsid w:val="00862338"/>
    <w:rsid w:val="00862CCF"/>
    <w:rsid w:val="00864B47"/>
    <w:rsid w:val="00874F94"/>
    <w:rsid w:val="008750F2"/>
    <w:rsid w:val="00875975"/>
    <w:rsid w:val="00876E90"/>
    <w:rsid w:val="00877181"/>
    <w:rsid w:val="008808E0"/>
    <w:rsid w:val="00882817"/>
    <w:rsid w:val="00890885"/>
    <w:rsid w:val="00891285"/>
    <w:rsid w:val="00892496"/>
    <w:rsid w:val="008932AB"/>
    <w:rsid w:val="008932E3"/>
    <w:rsid w:val="008951AC"/>
    <w:rsid w:val="00897C58"/>
    <w:rsid w:val="008A0119"/>
    <w:rsid w:val="008A47B1"/>
    <w:rsid w:val="008A6F22"/>
    <w:rsid w:val="008A7304"/>
    <w:rsid w:val="008B0A61"/>
    <w:rsid w:val="008B1850"/>
    <w:rsid w:val="008B2274"/>
    <w:rsid w:val="008B551B"/>
    <w:rsid w:val="008B5D8F"/>
    <w:rsid w:val="008B6B90"/>
    <w:rsid w:val="008B755D"/>
    <w:rsid w:val="008C362A"/>
    <w:rsid w:val="008D05FF"/>
    <w:rsid w:val="008D0BEE"/>
    <w:rsid w:val="008D2355"/>
    <w:rsid w:val="008E1A1A"/>
    <w:rsid w:val="008E1F03"/>
    <w:rsid w:val="008E46D3"/>
    <w:rsid w:val="008F4E0B"/>
    <w:rsid w:val="008F5F09"/>
    <w:rsid w:val="009023BD"/>
    <w:rsid w:val="00902811"/>
    <w:rsid w:val="009036A2"/>
    <w:rsid w:val="009064CA"/>
    <w:rsid w:val="00910636"/>
    <w:rsid w:val="00913652"/>
    <w:rsid w:val="00915046"/>
    <w:rsid w:val="00915BC1"/>
    <w:rsid w:val="00923561"/>
    <w:rsid w:val="00925D22"/>
    <w:rsid w:val="00925D40"/>
    <w:rsid w:val="009312FF"/>
    <w:rsid w:val="00935383"/>
    <w:rsid w:val="009453E1"/>
    <w:rsid w:val="009458E6"/>
    <w:rsid w:val="00950523"/>
    <w:rsid w:val="00954EDD"/>
    <w:rsid w:val="00955244"/>
    <w:rsid w:val="009571D7"/>
    <w:rsid w:val="00957C2E"/>
    <w:rsid w:val="009672B1"/>
    <w:rsid w:val="0096795D"/>
    <w:rsid w:val="00967E5F"/>
    <w:rsid w:val="00967F38"/>
    <w:rsid w:val="00972F48"/>
    <w:rsid w:val="00975299"/>
    <w:rsid w:val="00976402"/>
    <w:rsid w:val="009814C6"/>
    <w:rsid w:val="0098465D"/>
    <w:rsid w:val="00985303"/>
    <w:rsid w:val="00985F5E"/>
    <w:rsid w:val="00986F26"/>
    <w:rsid w:val="009912B2"/>
    <w:rsid w:val="00991F86"/>
    <w:rsid w:val="009929C5"/>
    <w:rsid w:val="0099375E"/>
    <w:rsid w:val="00995502"/>
    <w:rsid w:val="009A199C"/>
    <w:rsid w:val="009A3AB9"/>
    <w:rsid w:val="009A4951"/>
    <w:rsid w:val="009A4C9A"/>
    <w:rsid w:val="009A66E6"/>
    <w:rsid w:val="009B2A0D"/>
    <w:rsid w:val="009B3AD7"/>
    <w:rsid w:val="009C07B8"/>
    <w:rsid w:val="009C16F1"/>
    <w:rsid w:val="009C2710"/>
    <w:rsid w:val="009C3E6B"/>
    <w:rsid w:val="009C4D27"/>
    <w:rsid w:val="009C5A31"/>
    <w:rsid w:val="009D028D"/>
    <w:rsid w:val="009D07AF"/>
    <w:rsid w:val="009D173D"/>
    <w:rsid w:val="009D381B"/>
    <w:rsid w:val="009D62D4"/>
    <w:rsid w:val="009E0C97"/>
    <w:rsid w:val="009E24FB"/>
    <w:rsid w:val="009E62CA"/>
    <w:rsid w:val="009E6B72"/>
    <w:rsid w:val="009F0C0A"/>
    <w:rsid w:val="009F68EA"/>
    <w:rsid w:val="009F6CE7"/>
    <w:rsid w:val="00A03AC2"/>
    <w:rsid w:val="00A0475A"/>
    <w:rsid w:val="00A07960"/>
    <w:rsid w:val="00A11063"/>
    <w:rsid w:val="00A1291D"/>
    <w:rsid w:val="00A15A56"/>
    <w:rsid w:val="00A16E2B"/>
    <w:rsid w:val="00A23D2D"/>
    <w:rsid w:val="00A26445"/>
    <w:rsid w:val="00A272DA"/>
    <w:rsid w:val="00A27B65"/>
    <w:rsid w:val="00A31012"/>
    <w:rsid w:val="00A32014"/>
    <w:rsid w:val="00A41250"/>
    <w:rsid w:val="00A41D4E"/>
    <w:rsid w:val="00A431F8"/>
    <w:rsid w:val="00A44EB7"/>
    <w:rsid w:val="00A46154"/>
    <w:rsid w:val="00A479AD"/>
    <w:rsid w:val="00A52A8F"/>
    <w:rsid w:val="00A5506B"/>
    <w:rsid w:val="00A56B29"/>
    <w:rsid w:val="00A640FF"/>
    <w:rsid w:val="00A7050C"/>
    <w:rsid w:val="00A73D73"/>
    <w:rsid w:val="00A75659"/>
    <w:rsid w:val="00A77C20"/>
    <w:rsid w:val="00A800D9"/>
    <w:rsid w:val="00A83B38"/>
    <w:rsid w:val="00A8402A"/>
    <w:rsid w:val="00A860A6"/>
    <w:rsid w:val="00A878FA"/>
    <w:rsid w:val="00A87C02"/>
    <w:rsid w:val="00A95475"/>
    <w:rsid w:val="00AA046D"/>
    <w:rsid w:val="00AA220C"/>
    <w:rsid w:val="00AA6010"/>
    <w:rsid w:val="00AB0B1E"/>
    <w:rsid w:val="00AB1895"/>
    <w:rsid w:val="00AB31BE"/>
    <w:rsid w:val="00AB5943"/>
    <w:rsid w:val="00AB7FEB"/>
    <w:rsid w:val="00AC0D46"/>
    <w:rsid w:val="00AC7797"/>
    <w:rsid w:val="00AC785D"/>
    <w:rsid w:val="00AD0E4D"/>
    <w:rsid w:val="00AD633D"/>
    <w:rsid w:val="00AD6EC2"/>
    <w:rsid w:val="00AE100F"/>
    <w:rsid w:val="00AE2FEE"/>
    <w:rsid w:val="00AE4C26"/>
    <w:rsid w:val="00AE4E4A"/>
    <w:rsid w:val="00AE5E61"/>
    <w:rsid w:val="00AF0638"/>
    <w:rsid w:val="00AF1DAA"/>
    <w:rsid w:val="00AF2204"/>
    <w:rsid w:val="00AF4C02"/>
    <w:rsid w:val="00AF54E8"/>
    <w:rsid w:val="00B012F3"/>
    <w:rsid w:val="00B01727"/>
    <w:rsid w:val="00B01B9F"/>
    <w:rsid w:val="00B07EC7"/>
    <w:rsid w:val="00B1025B"/>
    <w:rsid w:val="00B1273F"/>
    <w:rsid w:val="00B2185E"/>
    <w:rsid w:val="00B2404B"/>
    <w:rsid w:val="00B24996"/>
    <w:rsid w:val="00B25FF5"/>
    <w:rsid w:val="00B343BD"/>
    <w:rsid w:val="00B41B37"/>
    <w:rsid w:val="00B50DE4"/>
    <w:rsid w:val="00B53493"/>
    <w:rsid w:val="00B55D18"/>
    <w:rsid w:val="00B56CC8"/>
    <w:rsid w:val="00B57D67"/>
    <w:rsid w:val="00B6052D"/>
    <w:rsid w:val="00B60C30"/>
    <w:rsid w:val="00B62745"/>
    <w:rsid w:val="00B64BBA"/>
    <w:rsid w:val="00B65281"/>
    <w:rsid w:val="00B668FB"/>
    <w:rsid w:val="00B705E8"/>
    <w:rsid w:val="00B74045"/>
    <w:rsid w:val="00B76B8E"/>
    <w:rsid w:val="00B76DB3"/>
    <w:rsid w:val="00B77C36"/>
    <w:rsid w:val="00B819D2"/>
    <w:rsid w:val="00B8465F"/>
    <w:rsid w:val="00B9066A"/>
    <w:rsid w:val="00B914F7"/>
    <w:rsid w:val="00B9711C"/>
    <w:rsid w:val="00BA2418"/>
    <w:rsid w:val="00BA30FE"/>
    <w:rsid w:val="00BA45AE"/>
    <w:rsid w:val="00BA4F4A"/>
    <w:rsid w:val="00BA66AD"/>
    <w:rsid w:val="00BB234E"/>
    <w:rsid w:val="00BB34C3"/>
    <w:rsid w:val="00BB5D45"/>
    <w:rsid w:val="00BC0701"/>
    <w:rsid w:val="00BC2DD3"/>
    <w:rsid w:val="00BC67B1"/>
    <w:rsid w:val="00BC7F57"/>
    <w:rsid w:val="00BE036D"/>
    <w:rsid w:val="00BE2126"/>
    <w:rsid w:val="00BE4500"/>
    <w:rsid w:val="00BE4B43"/>
    <w:rsid w:val="00BF166C"/>
    <w:rsid w:val="00BF17F8"/>
    <w:rsid w:val="00BF1F87"/>
    <w:rsid w:val="00BF2C53"/>
    <w:rsid w:val="00BF6450"/>
    <w:rsid w:val="00C000C3"/>
    <w:rsid w:val="00C00B01"/>
    <w:rsid w:val="00C02E60"/>
    <w:rsid w:val="00C0490D"/>
    <w:rsid w:val="00C100BD"/>
    <w:rsid w:val="00C145A2"/>
    <w:rsid w:val="00C14888"/>
    <w:rsid w:val="00C16614"/>
    <w:rsid w:val="00C21708"/>
    <w:rsid w:val="00C21BD6"/>
    <w:rsid w:val="00C240FD"/>
    <w:rsid w:val="00C24374"/>
    <w:rsid w:val="00C25247"/>
    <w:rsid w:val="00C2530A"/>
    <w:rsid w:val="00C2701D"/>
    <w:rsid w:val="00C27157"/>
    <w:rsid w:val="00C302EF"/>
    <w:rsid w:val="00C31472"/>
    <w:rsid w:val="00C32EA4"/>
    <w:rsid w:val="00C361AD"/>
    <w:rsid w:val="00C512B7"/>
    <w:rsid w:val="00C5184F"/>
    <w:rsid w:val="00C619C2"/>
    <w:rsid w:val="00C6313E"/>
    <w:rsid w:val="00C63717"/>
    <w:rsid w:val="00C64704"/>
    <w:rsid w:val="00C65F24"/>
    <w:rsid w:val="00C7175E"/>
    <w:rsid w:val="00C74C53"/>
    <w:rsid w:val="00C7629E"/>
    <w:rsid w:val="00C81950"/>
    <w:rsid w:val="00C85EA8"/>
    <w:rsid w:val="00C866AC"/>
    <w:rsid w:val="00C86CE1"/>
    <w:rsid w:val="00C87130"/>
    <w:rsid w:val="00C9606D"/>
    <w:rsid w:val="00C96C2C"/>
    <w:rsid w:val="00C97431"/>
    <w:rsid w:val="00CA0C6D"/>
    <w:rsid w:val="00CA0F8F"/>
    <w:rsid w:val="00CA2E88"/>
    <w:rsid w:val="00CA3C42"/>
    <w:rsid w:val="00CA3E4A"/>
    <w:rsid w:val="00CB095E"/>
    <w:rsid w:val="00CB7C55"/>
    <w:rsid w:val="00CC0E4C"/>
    <w:rsid w:val="00CC2589"/>
    <w:rsid w:val="00CD207A"/>
    <w:rsid w:val="00CD68E4"/>
    <w:rsid w:val="00CE1C07"/>
    <w:rsid w:val="00CE2530"/>
    <w:rsid w:val="00CE3E5C"/>
    <w:rsid w:val="00CE3EF7"/>
    <w:rsid w:val="00CF52A8"/>
    <w:rsid w:val="00CF65D3"/>
    <w:rsid w:val="00D004A0"/>
    <w:rsid w:val="00D00671"/>
    <w:rsid w:val="00D00C63"/>
    <w:rsid w:val="00D070B0"/>
    <w:rsid w:val="00D10D1E"/>
    <w:rsid w:val="00D14B10"/>
    <w:rsid w:val="00D15484"/>
    <w:rsid w:val="00D16787"/>
    <w:rsid w:val="00D1682D"/>
    <w:rsid w:val="00D2046E"/>
    <w:rsid w:val="00D2075E"/>
    <w:rsid w:val="00D241D3"/>
    <w:rsid w:val="00D253E1"/>
    <w:rsid w:val="00D278E0"/>
    <w:rsid w:val="00D27E2E"/>
    <w:rsid w:val="00D27FA8"/>
    <w:rsid w:val="00D365D3"/>
    <w:rsid w:val="00D42F7B"/>
    <w:rsid w:val="00D4346B"/>
    <w:rsid w:val="00D435F3"/>
    <w:rsid w:val="00D522EB"/>
    <w:rsid w:val="00D5396B"/>
    <w:rsid w:val="00D53C80"/>
    <w:rsid w:val="00D54534"/>
    <w:rsid w:val="00D55089"/>
    <w:rsid w:val="00D61E62"/>
    <w:rsid w:val="00D63B2E"/>
    <w:rsid w:val="00D65684"/>
    <w:rsid w:val="00D719A2"/>
    <w:rsid w:val="00D71C8E"/>
    <w:rsid w:val="00D72943"/>
    <w:rsid w:val="00D73D66"/>
    <w:rsid w:val="00D74B09"/>
    <w:rsid w:val="00D76F52"/>
    <w:rsid w:val="00D81868"/>
    <w:rsid w:val="00D821D0"/>
    <w:rsid w:val="00D90A7D"/>
    <w:rsid w:val="00D9132F"/>
    <w:rsid w:val="00D91D2C"/>
    <w:rsid w:val="00D921B8"/>
    <w:rsid w:val="00D92A7C"/>
    <w:rsid w:val="00D964A4"/>
    <w:rsid w:val="00D97BA9"/>
    <w:rsid w:val="00D97CEB"/>
    <w:rsid w:val="00DA146A"/>
    <w:rsid w:val="00DA51C9"/>
    <w:rsid w:val="00DA7152"/>
    <w:rsid w:val="00DA76ED"/>
    <w:rsid w:val="00DA76FA"/>
    <w:rsid w:val="00DB26C2"/>
    <w:rsid w:val="00DB2B49"/>
    <w:rsid w:val="00DB544C"/>
    <w:rsid w:val="00DC28FE"/>
    <w:rsid w:val="00DC290C"/>
    <w:rsid w:val="00DC33B4"/>
    <w:rsid w:val="00DC47C4"/>
    <w:rsid w:val="00DC7647"/>
    <w:rsid w:val="00DD3CB3"/>
    <w:rsid w:val="00DD4656"/>
    <w:rsid w:val="00DD783B"/>
    <w:rsid w:val="00DE090B"/>
    <w:rsid w:val="00DE51D4"/>
    <w:rsid w:val="00DF01DF"/>
    <w:rsid w:val="00DF0640"/>
    <w:rsid w:val="00DF6495"/>
    <w:rsid w:val="00E00411"/>
    <w:rsid w:val="00E018FB"/>
    <w:rsid w:val="00E0336B"/>
    <w:rsid w:val="00E053E9"/>
    <w:rsid w:val="00E10B72"/>
    <w:rsid w:val="00E12075"/>
    <w:rsid w:val="00E16A60"/>
    <w:rsid w:val="00E20108"/>
    <w:rsid w:val="00E21DC0"/>
    <w:rsid w:val="00E25FCE"/>
    <w:rsid w:val="00E32EA6"/>
    <w:rsid w:val="00E33EF7"/>
    <w:rsid w:val="00E35259"/>
    <w:rsid w:val="00E4386A"/>
    <w:rsid w:val="00E44600"/>
    <w:rsid w:val="00E45713"/>
    <w:rsid w:val="00E5223A"/>
    <w:rsid w:val="00E641C7"/>
    <w:rsid w:val="00E66062"/>
    <w:rsid w:val="00E66CE1"/>
    <w:rsid w:val="00E6763B"/>
    <w:rsid w:val="00E80944"/>
    <w:rsid w:val="00E83AC6"/>
    <w:rsid w:val="00E95D66"/>
    <w:rsid w:val="00E97140"/>
    <w:rsid w:val="00EA16A1"/>
    <w:rsid w:val="00EA2EF3"/>
    <w:rsid w:val="00EB0386"/>
    <w:rsid w:val="00EB3339"/>
    <w:rsid w:val="00EB435C"/>
    <w:rsid w:val="00EB4B40"/>
    <w:rsid w:val="00EB5864"/>
    <w:rsid w:val="00EB58BD"/>
    <w:rsid w:val="00EB6DEC"/>
    <w:rsid w:val="00EB79DA"/>
    <w:rsid w:val="00EC0FFC"/>
    <w:rsid w:val="00EC1317"/>
    <w:rsid w:val="00EC3E0F"/>
    <w:rsid w:val="00EC4E8F"/>
    <w:rsid w:val="00EC5B18"/>
    <w:rsid w:val="00EC70B9"/>
    <w:rsid w:val="00ED2E33"/>
    <w:rsid w:val="00ED3024"/>
    <w:rsid w:val="00ED71B6"/>
    <w:rsid w:val="00EE334E"/>
    <w:rsid w:val="00EE5929"/>
    <w:rsid w:val="00EF0E10"/>
    <w:rsid w:val="00EF1EF1"/>
    <w:rsid w:val="00EF2076"/>
    <w:rsid w:val="00EF2AFB"/>
    <w:rsid w:val="00EF3F4E"/>
    <w:rsid w:val="00EF6672"/>
    <w:rsid w:val="00EF7C73"/>
    <w:rsid w:val="00F03165"/>
    <w:rsid w:val="00F0322F"/>
    <w:rsid w:val="00F0612D"/>
    <w:rsid w:val="00F065FC"/>
    <w:rsid w:val="00F140A0"/>
    <w:rsid w:val="00F170D9"/>
    <w:rsid w:val="00F1756E"/>
    <w:rsid w:val="00F22BDB"/>
    <w:rsid w:val="00F24E61"/>
    <w:rsid w:val="00F251E7"/>
    <w:rsid w:val="00F269DA"/>
    <w:rsid w:val="00F30379"/>
    <w:rsid w:val="00F3071C"/>
    <w:rsid w:val="00F33849"/>
    <w:rsid w:val="00F36958"/>
    <w:rsid w:val="00F41C86"/>
    <w:rsid w:val="00F431FB"/>
    <w:rsid w:val="00F53ACB"/>
    <w:rsid w:val="00F54B70"/>
    <w:rsid w:val="00F555C9"/>
    <w:rsid w:val="00F5667B"/>
    <w:rsid w:val="00F56C9E"/>
    <w:rsid w:val="00F60E46"/>
    <w:rsid w:val="00F6184E"/>
    <w:rsid w:val="00F62077"/>
    <w:rsid w:val="00F635BD"/>
    <w:rsid w:val="00F64002"/>
    <w:rsid w:val="00F64C8A"/>
    <w:rsid w:val="00F66F8A"/>
    <w:rsid w:val="00F7062F"/>
    <w:rsid w:val="00F70A5E"/>
    <w:rsid w:val="00F70A7D"/>
    <w:rsid w:val="00F72A9F"/>
    <w:rsid w:val="00F76644"/>
    <w:rsid w:val="00F8007E"/>
    <w:rsid w:val="00F8072D"/>
    <w:rsid w:val="00F81C8A"/>
    <w:rsid w:val="00F83599"/>
    <w:rsid w:val="00F84805"/>
    <w:rsid w:val="00F87B87"/>
    <w:rsid w:val="00F910D6"/>
    <w:rsid w:val="00F91154"/>
    <w:rsid w:val="00F912C1"/>
    <w:rsid w:val="00F96863"/>
    <w:rsid w:val="00F97077"/>
    <w:rsid w:val="00F97511"/>
    <w:rsid w:val="00F97ACA"/>
    <w:rsid w:val="00FA0CD5"/>
    <w:rsid w:val="00FA1123"/>
    <w:rsid w:val="00FA2B02"/>
    <w:rsid w:val="00FB1115"/>
    <w:rsid w:val="00FB4AE4"/>
    <w:rsid w:val="00FB67AB"/>
    <w:rsid w:val="00FC2A3C"/>
    <w:rsid w:val="00FC5554"/>
    <w:rsid w:val="00FC7EEE"/>
    <w:rsid w:val="00FD159B"/>
    <w:rsid w:val="00FD2B76"/>
    <w:rsid w:val="00FD77B5"/>
    <w:rsid w:val="00FE31EE"/>
    <w:rsid w:val="00FE7A02"/>
    <w:rsid w:val="00FF077F"/>
    <w:rsid w:val="00FF0F09"/>
    <w:rsid w:val="0AD08C99"/>
    <w:rsid w:val="288245E9"/>
    <w:rsid w:val="2F4B8271"/>
    <w:rsid w:val="36A13229"/>
    <w:rsid w:val="3D379FD9"/>
    <w:rsid w:val="58A0D9D8"/>
    <w:rsid w:val="5B9D04C8"/>
    <w:rsid w:val="6BF68BEA"/>
    <w:rsid w:val="7A2F09C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F58D01"/>
  <w15:docId w15:val="{6F103B9E-54C8-44A4-AA9C-155CE2C5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qFormat="1"/>
    <w:lsdException w:name="annotation text" w:semiHidden="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0"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UTS Normal"/>
    <w:qFormat/>
    <w:rsid w:val="00024D7F"/>
    <w:pPr>
      <w:spacing w:before="0" w:after="0"/>
    </w:pPr>
    <w:rPr>
      <w:sz w:val="18"/>
    </w:rPr>
  </w:style>
  <w:style w:type="paragraph" w:styleId="Heading1">
    <w:name w:val="heading 1"/>
    <w:aliases w:val="UTS H1"/>
    <w:basedOn w:val="Normal"/>
    <w:next w:val="BodyText"/>
    <w:link w:val="Heading1Char"/>
    <w:qFormat/>
    <w:rsid w:val="007A7267"/>
    <w:pPr>
      <w:keepNext/>
      <w:keepLines/>
      <w:pageBreakBefore/>
      <w:widowControl w:val="0"/>
      <w:spacing w:after="480"/>
      <w:outlineLvl w:val="0"/>
    </w:pPr>
    <w:rPr>
      <w:rFonts w:asciiTheme="majorHAnsi" w:eastAsia="Times New Roman" w:hAnsiTheme="majorHAnsi" w:cs="Arial"/>
      <w:bCs/>
      <w:sz w:val="48"/>
      <w:szCs w:val="32"/>
      <w:lang w:eastAsia="en-AU"/>
    </w:rPr>
  </w:style>
  <w:style w:type="paragraph" w:styleId="Heading2">
    <w:name w:val="heading 2"/>
    <w:aliases w:val="UTS H2"/>
    <w:basedOn w:val="Normal"/>
    <w:next w:val="BodyText"/>
    <w:link w:val="Heading2Char"/>
    <w:qFormat/>
    <w:rsid w:val="002E66CC"/>
    <w:pPr>
      <w:keepNext/>
      <w:keepLines/>
      <w:spacing w:before="320" w:after="240"/>
      <w:outlineLvl w:val="1"/>
    </w:pPr>
    <w:rPr>
      <w:rFonts w:asciiTheme="majorHAnsi" w:eastAsia="Times New Roman" w:hAnsiTheme="majorHAnsi" w:cs="Arial"/>
      <w:bCs/>
      <w:iCs/>
      <w:color w:val="0F4BEB" w:themeColor="accent1"/>
      <w:sz w:val="30"/>
      <w:szCs w:val="28"/>
      <w:lang w:eastAsia="en-AU"/>
    </w:rPr>
  </w:style>
  <w:style w:type="paragraph" w:styleId="Heading3">
    <w:name w:val="heading 3"/>
    <w:aliases w:val="UTS H3"/>
    <w:basedOn w:val="Normal"/>
    <w:next w:val="BodyText"/>
    <w:link w:val="Heading3Char"/>
    <w:qFormat/>
    <w:rsid w:val="003E6AF6"/>
    <w:pPr>
      <w:keepNext/>
      <w:keepLines/>
      <w:spacing w:before="280" w:after="140"/>
      <w:outlineLvl w:val="2"/>
    </w:pPr>
    <w:rPr>
      <w:rFonts w:asciiTheme="majorHAnsi" w:eastAsia="Times New Roman" w:hAnsiTheme="majorHAnsi" w:cs="Times New Roman"/>
      <w:b/>
      <w:bCs/>
      <w:sz w:val="22"/>
      <w:szCs w:val="24"/>
      <w:lang w:eastAsia="en-AU"/>
    </w:rPr>
  </w:style>
  <w:style w:type="paragraph" w:styleId="Heading4">
    <w:name w:val="heading 4"/>
    <w:aliases w:val="UTS H4"/>
    <w:basedOn w:val="Normal"/>
    <w:next w:val="BodyText"/>
    <w:link w:val="Heading4Char"/>
    <w:qFormat/>
    <w:rsid w:val="003E6AF6"/>
    <w:pPr>
      <w:keepNext/>
      <w:keepLines/>
      <w:spacing w:before="240" w:after="120"/>
      <w:outlineLvl w:val="3"/>
    </w:pPr>
    <w:rPr>
      <w:rFonts w:asciiTheme="majorHAnsi" w:eastAsia="Times New Roman" w:hAnsiTheme="majorHAnsi" w:cs="Times New Roman"/>
      <w:b/>
      <w:bCs/>
      <w:lang w:eastAsia="en-AU"/>
    </w:rPr>
  </w:style>
  <w:style w:type="paragraph" w:styleId="Heading5">
    <w:name w:val="heading 5"/>
    <w:basedOn w:val="Normal"/>
    <w:next w:val="BodyText"/>
    <w:link w:val="Heading5Char"/>
    <w:semiHidden/>
    <w:qFormat/>
    <w:rsid w:val="00967F38"/>
    <w:pPr>
      <w:keepNext/>
      <w:keepLines/>
      <w:spacing w:before="240" w:after="120"/>
      <w:outlineLvl w:val="4"/>
    </w:pPr>
    <w:rPr>
      <w:rFonts w:asciiTheme="majorHAnsi" w:eastAsia="Times New Roman" w:hAnsiTheme="majorHAnsi" w:cs="Times New Roman"/>
      <w:bCs/>
      <w:iCs/>
      <w:sz w:val="20"/>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TS Body"/>
    <w:basedOn w:val="Normal"/>
    <w:link w:val="BodyTextChar"/>
    <w:qFormat/>
    <w:rsid w:val="00D278E0"/>
    <w:pPr>
      <w:spacing w:before="120" w:after="120"/>
    </w:pPr>
    <w:rPr>
      <w:rFonts w:eastAsia="Times New Roman" w:cs="Times New Roman"/>
      <w:sz w:val="21"/>
      <w:szCs w:val="24"/>
      <w:lang w:eastAsia="en-AU"/>
    </w:rPr>
  </w:style>
  <w:style w:type="character" w:customStyle="1" w:styleId="BodyTextChar">
    <w:name w:val="Body Text Char"/>
    <w:aliases w:val="UTS Body Char"/>
    <w:basedOn w:val="DefaultParagraphFont"/>
    <w:link w:val="BodyText"/>
    <w:rsid w:val="00D278E0"/>
    <w:rPr>
      <w:rFonts w:eastAsia="Times New Roman" w:cs="Times New Roman"/>
      <w:sz w:val="21"/>
      <w:szCs w:val="24"/>
      <w:lang w:eastAsia="en-AU"/>
    </w:rPr>
  </w:style>
  <w:style w:type="character" w:customStyle="1" w:styleId="Heading1Char">
    <w:name w:val="Heading 1 Char"/>
    <w:aliases w:val="UTS H1 Char"/>
    <w:basedOn w:val="DefaultParagraphFont"/>
    <w:link w:val="Heading1"/>
    <w:rsid w:val="007A7267"/>
    <w:rPr>
      <w:rFonts w:asciiTheme="majorHAnsi" w:eastAsia="Times New Roman" w:hAnsiTheme="majorHAnsi" w:cs="Arial"/>
      <w:bCs/>
      <w:sz w:val="48"/>
      <w:szCs w:val="32"/>
      <w:lang w:eastAsia="en-AU"/>
    </w:rPr>
  </w:style>
  <w:style w:type="character" w:customStyle="1" w:styleId="Heading2Char">
    <w:name w:val="Heading 2 Char"/>
    <w:aliases w:val="UTS H2 Char"/>
    <w:basedOn w:val="DefaultParagraphFont"/>
    <w:link w:val="Heading2"/>
    <w:rsid w:val="002E66CC"/>
    <w:rPr>
      <w:rFonts w:asciiTheme="majorHAnsi" w:eastAsia="Times New Roman" w:hAnsiTheme="majorHAnsi" w:cs="Arial"/>
      <w:bCs/>
      <w:iCs/>
      <w:color w:val="0F4BEB" w:themeColor="accent1"/>
      <w:sz w:val="30"/>
      <w:szCs w:val="28"/>
      <w:lang w:eastAsia="en-AU"/>
    </w:rPr>
  </w:style>
  <w:style w:type="character" w:customStyle="1" w:styleId="Heading3Char">
    <w:name w:val="Heading 3 Char"/>
    <w:aliases w:val="UTS H3 Char"/>
    <w:basedOn w:val="DefaultParagraphFont"/>
    <w:link w:val="Heading3"/>
    <w:rsid w:val="003E6AF6"/>
    <w:rPr>
      <w:rFonts w:asciiTheme="majorHAnsi" w:eastAsia="Times New Roman" w:hAnsiTheme="majorHAnsi" w:cs="Times New Roman"/>
      <w:b/>
      <w:bCs/>
      <w:szCs w:val="24"/>
      <w:lang w:eastAsia="en-AU"/>
    </w:rPr>
  </w:style>
  <w:style w:type="character" w:customStyle="1" w:styleId="Heading4Char">
    <w:name w:val="Heading 4 Char"/>
    <w:aliases w:val="UTS H4 Char"/>
    <w:basedOn w:val="DefaultParagraphFont"/>
    <w:link w:val="Heading4"/>
    <w:rsid w:val="003E6AF6"/>
    <w:rPr>
      <w:rFonts w:asciiTheme="majorHAnsi" w:eastAsia="Times New Roman" w:hAnsiTheme="majorHAnsi" w:cs="Times New Roman"/>
      <w:b/>
      <w:bCs/>
      <w:sz w:val="18"/>
      <w:lang w:eastAsia="en-AU"/>
    </w:rPr>
  </w:style>
  <w:style w:type="paragraph" w:customStyle="1" w:styleId="NbrHeading1">
    <w:name w:val="Nbr Heading 1"/>
    <w:aliases w:val="UTS Nbr H1"/>
    <w:basedOn w:val="Heading1"/>
    <w:next w:val="BodyText"/>
    <w:qFormat/>
    <w:rsid w:val="003A08A5"/>
    <w:pPr>
      <w:numPr>
        <w:numId w:val="15"/>
      </w:numPr>
    </w:pPr>
    <w:rPr>
      <w:bCs w:val="0"/>
    </w:rPr>
  </w:style>
  <w:style w:type="paragraph" w:customStyle="1" w:styleId="NbrHeading2">
    <w:name w:val="Nbr Heading 2"/>
    <w:aliases w:val="UTS Nbr H2"/>
    <w:basedOn w:val="Heading2"/>
    <w:next w:val="BodyText"/>
    <w:qFormat/>
    <w:rsid w:val="003A08A5"/>
    <w:pPr>
      <w:numPr>
        <w:ilvl w:val="1"/>
        <w:numId w:val="15"/>
      </w:numPr>
    </w:pPr>
  </w:style>
  <w:style w:type="paragraph" w:customStyle="1" w:styleId="NbrHeading3">
    <w:name w:val="Nbr Heading 3"/>
    <w:aliases w:val="UTS Nbr H3"/>
    <w:basedOn w:val="Heading3"/>
    <w:next w:val="BodyText"/>
    <w:qFormat/>
    <w:rsid w:val="00822503"/>
    <w:pPr>
      <w:numPr>
        <w:ilvl w:val="2"/>
        <w:numId w:val="15"/>
      </w:numPr>
    </w:pPr>
  </w:style>
  <w:style w:type="paragraph" w:customStyle="1" w:styleId="NbrHeading4">
    <w:name w:val="Nbr Heading 4"/>
    <w:aliases w:val="UTS Nbr H4"/>
    <w:basedOn w:val="Heading4"/>
    <w:next w:val="BodyText"/>
    <w:qFormat/>
    <w:rsid w:val="003A08A5"/>
    <w:pPr>
      <w:numPr>
        <w:ilvl w:val="3"/>
        <w:numId w:val="15"/>
      </w:numPr>
    </w:pPr>
  </w:style>
  <w:style w:type="paragraph" w:styleId="Title">
    <w:name w:val="Title"/>
    <w:aliases w:val="UTS Title"/>
    <w:basedOn w:val="Normal"/>
    <w:next w:val="BodyText"/>
    <w:link w:val="TitleChar"/>
    <w:uiPriority w:val="9"/>
    <w:qFormat/>
    <w:rsid w:val="00CD207A"/>
    <w:pPr>
      <w:spacing w:after="240"/>
    </w:pPr>
    <w:rPr>
      <w:rFonts w:asciiTheme="majorHAnsi" w:eastAsiaTheme="majorEastAsia" w:hAnsiTheme="majorHAnsi" w:cstheme="majorBidi"/>
      <w:color w:val="FFFFFF" w:themeColor="background1"/>
      <w:sz w:val="30"/>
      <w:szCs w:val="52"/>
    </w:rPr>
  </w:style>
  <w:style w:type="character" w:customStyle="1" w:styleId="TitleChar">
    <w:name w:val="Title Char"/>
    <w:aliases w:val="UTS Title Char"/>
    <w:basedOn w:val="DefaultParagraphFont"/>
    <w:link w:val="Title"/>
    <w:uiPriority w:val="9"/>
    <w:rsid w:val="00CD207A"/>
    <w:rPr>
      <w:rFonts w:asciiTheme="majorHAnsi" w:eastAsiaTheme="majorEastAsia" w:hAnsiTheme="majorHAnsi" w:cstheme="majorBidi"/>
      <w:color w:val="FFFFFF" w:themeColor="background1"/>
      <w:sz w:val="30"/>
      <w:szCs w:val="52"/>
    </w:rPr>
  </w:style>
  <w:style w:type="paragraph" w:styleId="Subtitle">
    <w:name w:val="Subtitle"/>
    <w:aliases w:val="UTS Subtitle"/>
    <w:basedOn w:val="Normal"/>
    <w:next w:val="BodyText"/>
    <w:link w:val="SubtitleChar"/>
    <w:uiPriority w:val="10"/>
    <w:qFormat/>
    <w:rsid w:val="00CD207A"/>
    <w:rPr>
      <w:rFonts w:eastAsia="Times New Roman"/>
      <w:color w:val="FFFFFF" w:themeColor="background1"/>
      <w:sz w:val="100"/>
      <w:lang w:val="en-US"/>
    </w:rPr>
  </w:style>
  <w:style w:type="character" w:customStyle="1" w:styleId="SubtitleChar">
    <w:name w:val="Subtitle Char"/>
    <w:aliases w:val="UTS Subtitle Char"/>
    <w:basedOn w:val="DefaultParagraphFont"/>
    <w:link w:val="Subtitle"/>
    <w:uiPriority w:val="10"/>
    <w:rsid w:val="00CD207A"/>
    <w:rPr>
      <w:rFonts w:eastAsia="Times New Roman"/>
      <w:color w:val="FFFFFF" w:themeColor="background1"/>
      <w:sz w:val="100"/>
      <w:lang w:val="en-US"/>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207A"/>
    <w:rPr>
      <w:color w:val="0F4BEB" w:themeColor="accent1"/>
      <w:sz w:val="16"/>
    </w:rPr>
  </w:style>
  <w:style w:type="character" w:customStyle="1" w:styleId="HeaderChar">
    <w:name w:val="Header Char"/>
    <w:basedOn w:val="DefaultParagraphFont"/>
    <w:link w:val="Header"/>
    <w:uiPriority w:val="99"/>
    <w:rsid w:val="00CD207A"/>
    <w:rPr>
      <w:color w:val="0F4BEB" w:themeColor="accent1"/>
      <w:sz w:val="16"/>
    </w:rPr>
  </w:style>
  <w:style w:type="paragraph" w:styleId="Footer">
    <w:name w:val="footer"/>
    <w:basedOn w:val="Normal"/>
    <w:link w:val="FooterChar"/>
    <w:uiPriority w:val="99"/>
    <w:rsid w:val="00012538"/>
    <w:pPr>
      <w:tabs>
        <w:tab w:val="right" w:pos="9639"/>
      </w:tabs>
      <w:spacing w:after="120"/>
    </w:pPr>
    <w:rPr>
      <w:color w:val="0F4BEB" w:themeColor="accent1"/>
      <w:sz w:val="16"/>
    </w:rPr>
  </w:style>
  <w:style w:type="character" w:customStyle="1" w:styleId="FooterChar">
    <w:name w:val="Footer Char"/>
    <w:basedOn w:val="DefaultParagraphFont"/>
    <w:link w:val="Footer"/>
    <w:uiPriority w:val="99"/>
    <w:rsid w:val="00012538"/>
    <w:rPr>
      <w:color w:val="0F4BEB" w:themeColor="accent1"/>
      <w:sz w:val="16"/>
    </w:rPr>
  </w:style>
  <w:style w:type="paragraph" w:styleId="ListNumber0">
    <w:name w:val="List Number"/>
    <w:aliases w:val="UTS Number"/>
    <w:basedOn w:val="BodyText"/>
    <w:uiPriority w:val="1"/>
    <w:qFormat/>
    <w:rsid w:val="00D63B2E"/>
    <w:pPr>
      <w:numPr>
        <w:numId w:val="10"/>
      </w:numPr>
    </w:pPr>
  </w:style>
  <w:style w:type="paragraph" w:styleId="ListBullet0">
    <w:name w:val="List Bullet"/>
    <w:aliases w:val="UTS Bullet"/>
    <w:basedOn w:val="BodyText"/>
    <w:uiPriority w:val="1"/>
    <w:qFormat/>
    <w:rsid w:val="00D63B2E"/>
    <w:pPr>
      <w:numPr>
        <w:numId w:val="9"/>
      </w:numPr>
    </w:pPr>
  </w:style>
  <w:style w:type="paragraph" w:styleId="TOCHeading">
    <w:name w:val="TOC Heading"/>
    <w:basedOn w:val="Heading1"/>
    <w:next w:val="Normal"/>
    <w:uiPriority w:val="39"/>
    <w:rsid w:val="003A21A7"/>
    <w:pPr>
      <w:pageBreakBefore w:val="0"/>
      <w:spacing w:before="480" w:after="240"/>
    </w:pPr>
  </w:style>
  <w:style w:type="character" w:styleId="Hyperlink">
    <w:name w:val="Hyperlink"/>
    <w:basedOn w:val="DefaultParagraphFont"/>
    <w:uiPriority w:val="99"/>
    <w:rsid w:val="00BF1F87"/>
    <w:rPr>
      <w:color w:val="0F4BEB" w:themeColor="accent1"/>
      <w:u w:val="single"/>
    </w:rPr>
  </w:style>
  <w:style w:type="paragraph" w:styleId="TOC1">
    <w:name w:val="toc 1"/>
    <w:basedOn w:val="Normal"/>
    <w:next w:val="Normal"/>
    <w:uiPriority w:val="39"/>
    <w:rsid w:val="00EB6DEC"/>
    <w:pPr>
      <w:keepNext/>
      <w:tabs>
        <w:tab w:val="right" w:pos="8505"/>
      </w:tabs>
      <w:spacing w:before="240" w:after="120"/>
    </w:pPr>
    <w:rPr>
      <w:b/>
      <w:noProof/>
    </w:rPr>
  </w:style>
  <w:style w:type="paragraph" w:styleId="TOC2">
    <w:name w:val="toc 2"/>
    <w:basedOn w:val="Normal"/>
    <w:next w:val="Normal"/>
    <w:uiPriority w:val="39"/>
    <w:rsid w:val="007F718B"/>
    <w:pPr>
      <w:tabs>
        <w:tab w:val="right" w:pos="8505"/>
      </w:tabs>
      <w:spacing w:after="80"/>
      <w:ind w:left="284"/>
    </w:pPr>
  </w:style>
  <w:style w:type="paragraph" w:styleId="TOC3">
    <w:name w:val="toc 3"/>
    <w:basedOn w:val="Normal"/>
    <w:next w:val="Normal"/>
    <w:uiPriority w:val="39"/>
    <w:rsid w:val="007F718B"/>
    <w:pPr>
      <w:tabs>
        <w:tab w:val="right" w:pos="8505"/>
      </w:tabs>
      <w:spacing w:after="20"/>
      <w:ind w:left="567"/>
    </w:pPr>
    <w:rPr>
      <w:noProof/>
    </w:rPr>
  </w:style>
  <w:style w:type="table" w:styleId="TableGrid">
    <w:name w:val="Table Grid"/>
    <w:basedOn w:val="TableNormal"/>
    <w:uiPriority w:val="3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nedRedTable">
    <w:name w:val="Lined Red Table"/>
    <w:basedOn w:val="LinedBlueTable"/>
    <w:uiPriority w:val="99"/>
    <w:rsid w:val="00562433"/>
    <w:tblPr>
      <w:tblBorders>
        <w:top w:val="none" w:sz="0" w:space="0" w:color="auto"/>
        <w:bottom w:val="single" w:sz="18" w:space="0" w:color="FFD2CD" w:themeColor="accent2" w:themeTint="33"/>
        <w:insideH w:val="single" w:sz="18" w:space="0" w:color="FFD2CD" w:themeColor="accent2" w:themeTint="33"/>
      </w:tblBorders>
    </w:tblPr>
    <w:tcPr>
      <w:shd w:val="clear" w:color="auto" w:fill="auto"/>
    </w:tcPr>
    <w:tblStylePr w:type="firstRow">
      <w:rPr>
        <w:color w:val="FFFFFF" w:themeColor="background1"/>
      </w:rPr>
      <w:tblPr/>
      <w:tcPr>
        <w:tcBorders>
          <w:top w:val="single" w:sz="18" w:space="0" w:color="FFD2CD" w:themeColor="accent2" w:themeTint="33"/>
          <w:left w:val="nil"/>
          <w:bottom w:val="nil"/>
          <w:right w:val="nil"/>
          <w:insideH w:val="nil"/>
          <w:insideV w:val="nil"/>
          <w:tl2br w:val="nil"/>
          <w:tr2bl w:val="nil"/>
        </w:tcBorders>
        <w:shd w:val="clear" w:color="auto" w:fill="FF2305" w:themeFill="accent2"/>
      </w:tcPr>
    </w:tblStylePr>
    <w:tblStylePr w:type="lastRow">
      <w:rPr>
        <w:b/>
        <w:color w:val="auto"/>
      </w:rPr>
      <w:tblPr/>
      <w:tcPr>
        <w:shd w:val="clear" w:color="auto" w:fill="FFF1EF"/>
      </w:tcPr>
    </w:tblStylePr>
    <w:tblStylePr w:type="firstCol">
      <w:rPr>
        <w:color w:val="FFFFFF" w:themeColor="background1"/>
      </w:rPr>
      <w:tblPr/>
      <w:tcPr>
        <w:tcBorders>
          <w:top w:val="nil"/>
          <w:left w:val="nil"/>
          <w:bottom w:val="single" w:sz="18" w:space="0" w:color="FFD2CD" w:themeColor="accent2" w:themeTint="33"/>
          <w:right w:val="nil"/>
          <w:insideH w:val="single" w:sz="18" w:space="0" w:color="FFD2CD" w:themeColor="accent2" w:themeTint="33"/>
          <w:insideV w:val="nil"/>
        </w:tcBorders>
        <w:shd w:val="clear" w:color="auto" w:fill="FF2305" w:themeFill="accent2"/>
      </w:tcPr>
    </w:tblStylePr>
    <w:tblStylePr w:type="lastCol">
      <w:tblPr/>
      <w:tcPr>
        <w:shd w:val="clear" w:color="auto" w:fill="FFF1EF"/>
      </w:tcPr>
    </w:tblStylePr>
    <w:tblStylePr w:type="band2Vert">
      <w:tblPr/>
      <w:tcPr>
        <w:shd w:val="clear" w:color="auto" w:fill="FFF1EF"/>
      </w:tcPr>
    </w:tblStylePr>
    <w:tblStylePr w:type="band2Horz">
      <w:tblPr/>
      <w:tcPr>
        <w:shd w:val="clear" w:color="auto" w:fill="FFF1EF"/>
      </w:tcPr>
    </w:tblStylePr>
  </w:style>
  <w:style w:type="paragraph" w:customStyle="1" w:styleId="TableHeading">
    <w:name w:val="Table Heading"/>
    <w:aliases w:val="UTS Table Heading"/>
    <w:basedOn w:val="Normal"/>
    <w:next w:val="BodyText"/>
    <w:uiPriority w:val="3"/>
    <w:qFormat/>
    <w:rsid w:val="00C6313E"/>
    <w:pPr>
      <w:spacing w:before="60" w:after="60"/>
      <w:ind w:left="113" w:right="113"/>
    </w:pPr>
    <w:rPr>
      <w:b/>
    </w:rPr>
  </w:style>
  <w:style w:type="paragraph" w:customStyle="1" w:styleId="TableText">
    <w:name w:val="Table Text"/>
    <w:aliases w:val="UTS Table Text"/>
    <w:basedOn w:val="Normal"/>
    <w:uiPriority w:val="3"/>
    <w:qFormat/>
    <w:rsid w:val="00C6313E"/>
    <w:pPr>
      <w:spacing w:before="60" w:after="60"/>
      <w:ind w:left="113" w:right="113"/>
    </w:pPr>
  </w:style>
  <w:style w:type="paragraph" w:customStyle="1" w:styleId="TableBullet">
    <w:name w:val="Table Bullet"/>
    <w:aliases w:val="UTS Table Bullet"/>
    <w:basedOn w:val="TableText"/>
    <w:uiPriority w:val="4"/>
    <w:qFormat/>
    <w:rsid w:val="00411DB3"/>
    <w:pPr>
      <w:numPr>
        <w:numId w:val="12"/>
      </w:numPr>
    </w:pPr>
    <w:rPr>
      <w:rFonts w:eastAsia="Times New Roman" w:cs="Times New Roman"/>
      <w:szCs w:val="24"/>
      <w:lang w:eastAsia="en-AU"/>
    </w:rPr>
  </w:style>
  <w:style w:type="paragraph" w:customStyle="1" w:styleId="TableNumber">
    <w:name w:val="Table Number"/>
    <w:aliases w:val="UTS Table Number"/>
    <w:basedOn w:val="TableText"/>
    <w:uiPriority w:val="4"/>
    <w:qFormat/>
    <w:rsid w:val="00411DB3"/>
    <w:pPr>
      <w:numPr>
        <w:numId w:val="13"/>
      </w:numPr>
    </w:pPr>
  </w:style>
  <w:style w:type="character" w:customStyle="1" w:styleId="Heading5Char">
    <w:name w:val="Heading 5 Char"/>
    <w:basedOn w:val="DefaultParagraphFont"/>
    <w:link w:val="Heading5"/>
    <w:semiHidden/>
    <w:rsid w:val="00D27E2E"/>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E33EF7"/>
    <w:rPr>
      <w:rFonts w:eastAsia="Times New Roman" w:cs="Times New Roman"/>
      <w:bCs/>
      <w:sz w:val="18"/>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
    <w:name w:val="List Paragraph"/>
    <w:aliases w:val="UTS Para,Recommendation,List Paragraph1,List Paragraph11,L,F5 List Paragraph,Dot pt,CV text,Table text,List Paragraph111,Medium Grid 1 - Accent 21,Numbered Paragraph,List Paragraph2,Bulleted Para,NFP GP Bulleted List,FooterText,numbered"/>
    <w:basedOn w:val="BodyText"/>
    <w:link w:val="ListParagraphChar"/>
    <w:uiPriority w:val="34"/>
    <w:qFormat/>
    <w:rsid w:val="00D63B2E"/>
    <w:pPr>
      <w:numPr>
        <w:numId w:val="11"/>
      </w:numPr>
    </w:pPr>
  </w:style>
  <w:style w:type="paragraph" w:styleId="TOC4">
    <w:name w:val="toc 4"/>
    <w:basedOn w:val="TOC1"/>
    <w:next w:val="Normal"/>
    <w:uiPriority w:val="39"/>
    <w:rsid w:val="00DF01DF"/>
    <w:pPr>
      <w:tabs>
        <w:tab w:val="left" w:pos="851"/>
      </w:tabs>
      <w:ind w:left="851" w:hanging="851"/>
    </w:pPr>
  </w:style>
  <w:style w:type="paragraph" w:customStyle="1" w:styleId="NbrHeading5">
    <w:name w:val="Nbr Heading 5"/>
    <w:basedOn w:val="Heading5"/>
    <w:next w:val="BodyText"/>
    <w:semiHidden/>
    <w:qFormat/>
    <w:rsid w:val="003A08A5"/>
    <w:pPr>
      <w:numPr>
        <w:ilvl w:val="4"/>
        <w:numId w:val="15"/>
      </w:numPr>
    </w:pPr>
  </w:style>
  <w:style w:type="table" w:customStyle="1" w:styleId="ShadedRedTable">
    <w:name w:val="Shaded Red Table"/>
    <w:basedOn w:val="ShadedBlueTable"/>
    <w:uiPriority w:val="99"/>
    <w:rsid w:val="003E6AF6"/>
    <w:tblPr/>
    <w:tcPr>
      <w:shd w:val="clear" w:color="auto" w:fill="FFF1EF"/>
    </w:tcPr>
    <w:tblStylePr w:type="firstRow">
      <w:rPr>
        <w:color w:val="FFFFFF" w:themeColor="background1"/>
      </w:rPr>
      <w:tblPr/>
      <w:tcPr>
        <w:tcBorders>
          <w:top w:val="single" w:sz="36" w:space="0" w:color="000000" w:themeColor="text1"/>
        </w:tcBorders>
        <w:shd w:val="clear" w:color="auto" w:fill="FF2305" w:themeFill="accent2"/>
      </w:tcPr>
    </w:tblStylePr>
    <w:tblStylePr w:type="lastRow">
      <w:rPr>
        <w:b/>
      </w:rPr>
      <w:tblPr/>
      <w:tcPr>
        <w:shd w:val="clear" w:color="auto" w:fill="FFD2CD" w:themeFill="accent2" w:themeFillTint="33"/>
      </w:tcPr>
    </w:tblStylePr>
    <w:tblStylePr w:type="firstCol">
      <w:rPr>
        <w:color w:val="FFFFFF" w:themeColor="background1"/>
      </w:rPr>
      <w:tblPr/>
      <w:tcPr>
        <w:shd w:val="clear" w:color="auto" w:fill="FF2305" w:themeFill="accent2"/>
      </w:tcPr>
    </w:tblStylePr>
    <w:tblStylePr w:type="lastCol">
      <w:tblPr/>
      <w:tcPr>
        <w:shd w:val="clear" w:color="auto" w:fill="FFD2CD" w:themeFill="accent2" w:themeFillTint="33"/>
      </w:tcPr>
    </w:tblStylePr>
    <w:tblStylePr w:type="band2Vert">
      <w:tblPr/>
      <w:tcPr>
        <w:shd w:val="clear" w:color="auto" w:fill="FFD2CD" w:themeFill="accent2" w:themeFillTint="33"/>
      </w:tcPr>
    </w:tblStylePr>
    <w:tblStylePr w:type="band2Horz">
      <w:tblPr/>
      <w:tcPr>
        <w:shd w:val="clear" w:color="auto" w:fill="FFD2CD" w:themeFill="accent2" w:themeFillTint="33"/>
      </w:tcPr>
    </w:tblStylePr>
  </w:style>
  <w:style w:type="table" w:customStyle="1" w:styleId="ShadedBlackTable">
    <w:name w:val="Shaded Black Table"/>
    <w:basedOn w:val="ShadedRedTable"/>
    <w:uiPriority w:val="99"/>
    <w:rsid w:val="003E6AF6"/>
    <w:tblPr/>
    <w:tcPr>
      <w:shd w:val="clear" w:color="auto" w:fill="F2F2F2" w:themeFill="background2"/>
    </w:tcPr>
    <w:tblStylePr w:type="firstRow">
      <w:rPr>
        <w:color w:val="FFFFFF" w:themeColor="background1"/>
      </w:rPr>
      <w:tblPr/>
      <w:tcPr>
        <w:tcBorders>
          <w:top w:val="single" w:sz="36" w:space="0" w:color="0F4BEB" w:themeColor="accent1"/>
        </w:tcBorders>
        <w:shd w:val="clear" w:color="auto" w:fill="000000" w:themeFill="text1"/>
      </w:tcPr>
    </w:tblStylePr>
    <w:tblStylePr w:type="lastRow">
      <w:rPr>
        <w:b/>
      </w:rPr>
      <w:tblPr/>
      <w:tcPr>
        <w:shd w:val="clear" w:color="auto" w:fill="DADADA" w:themeFill="background2" w:themeFillShade="E6"/>
      </w:tcPr>
    </w:tblStylePr>
    <w:tblStylePr w:type="firstCol">
      <w:rPr>
        <w:color w:val="FFFFFF" w:themeColor="background1"/>
      </w:rPr>
      <w:tblPr/>
      <w:tcPr>
        <w:shd w:val="clear" w:color="auto" w:fill="000000" w:themeFill="text1"/>
      </w:tcPr>
    </w:tblStylePr>
    <w:tblStylePr w:type="lastCol">
      <w:tblPr/>
      <w:tcPr>
        <w:shd w:val="clear" w:color="auto" w:fill="DADADA" w:themeFill="background2" w:themeFillShade="E6"/>
      </w:tcPr>
    </w:tblStylePr>
    <w:tblStylePr w:type="band2Vert">
      <w:tblPr/>
      <w:tcPr>
        <w:shd w:val="clear" w:color="auto" w:fill="DADADA" w:themeFill="background2" w:themeFillShade="E6"/>
      </w:tcPr>
    </w:tblStylePr>
    <w:tblStylePr w:type="band2Horz">
      <w:tblPr/>
      <w:tcPr>
        <w:shd w:val="clear" w:color="auto" w:fill="DADADA" w:themeFill="background2" w:themeFillShade="E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E33EF7"/>
    <w:rPr>
      <w:i/>
      <w:iCs/>
      <w:color w:val="000000" w:themeColor="text1"/>
      <w:sz w:val="18"/>
    </w:rPr>
  </w:style>
  <w:style w:type="paragraph" w:customStyle="1" w:styleId="FigureCaption">
    <w:name w:val="Figure Caption"/>
    <w:basedOn w:val="Normal"/>
    <w:next w:val="BodyText"/>
    <w:uiPriority w:val="6"/>
    <w:qFormat/>
    <w:rsid w:val="0055219D"/>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style>
  <w:style w:type="paragraph" w:styleId="TOC7">
    <w:name w:val="toc 7"/>
    <w:basedOn w:val="TOC2"/>
    <w:next w:val="Normal"/>
    <w:uiPriority w:val="39"/>
    <w:rsid w:val="003B4DCF"/>
    <w:pPr>
      <w:spacing w:after="60"/>
    </w:pPr>
    <w:rPr>
      <w:sz w:val="16"/>
    </w:rPr>
  </w:style>
  <w:style w:type="paragraph" w:styleId="TOC8">
    <w:name w:val="toc 8"/>
    <w:basedOn w:val="Normal"/>
    <w:next w:val="Normal"/>
    <w:uiPriority w:val="39"/>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63B2E"/>
    <w:pPr>
      <w:numPr>
        <w:numId w:val="3"/>
      </w:numPr>
    </w:pPr>
  </w:style>
  <w:style w:type="numbering" w:customStyle="1" w:styleId="ListParagraph0">
    <w:name w:val="List Paragraph0"/>
    <w:uiPriority w:val="99"/>
    <w:rsid w:val="00D63B2E"/>
    <w:pPr>
      <w:numPr>
        <w:numId w:val="5"/>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aliases w:val="UTS Alpha"/>
    <w:basedOn w:val="BodyText"/>
    <w:uiPriority w:val="1"/>
    <w:qFormat/>
    <w:rsid w:val="00D63B2E"/>
    <w:pPr>
      <w:numPr>
        <w:numId w:val="8"/>
      </w:numPr>
    </w:pPr>
  </w:style>
  <w:style w:type="numbering" w:customStyle="1" w:styleId="ListAlpha">
    <w:name w:val="List_Alpha"/>
    <w:uiPriority w:val="99"/>
    <w:rsid w:val="00D63B2E"/>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3A21A7"/>
    <w:pPr>
      <w:spacing w:after="60"/>
      <w:ind w:left="0"/>
    </w:pPr>
  </w:style>
  <w:style w:type="table" w:customStyle="1" w:styleId="LinedBlueTable">
    <w:name w:val="Lined Blue Table"/>
    <w:basedOn w:val="TableNormal"/>
    <w:uiPriority w:val="99"/>
    <w:rsid w:val="00562433"/>
    <w:pPr>
      <w:spacing w:before="0" w:after="0"/>
      <w:ind w:left="113" w:right="113"/>
    </w:pPr>
    <w:tblPr>
      <w:tblStyleRowBandSize w:val="1"/>
      <w:tblStyleColBandSize w:val="1"/>
      <w:tblBorders>
        <w:top w:val="single" w:sz="18" w:space="0" w:color="CEDAFC" w:themeColor="accent1" w:themeTint="33"/>
        <w:bottom w:val="single" w:sz="18" w:space="0" w:color="CEDAFC" w:themeColor="accent1" w:themeTint="33"/>
        <w:insideH w:val="single" w:sz="18" w:space="0" w:color="CEDAFC" w:themeColor="accent1" w:themeTint="33"/>
      </w:tblBorders>
      <w:tblCellMar>
        <w:left w:w="0" w:type="dxa"/>
        <w:right w:w="0" w:type="dxa"/>
      </w:tblCellMar>
    </w:tblPr>
    <w:trPr>
      <w:cantSplit/>
    </w:trPr>
    <w:tcPr>
      <w:shd w:val="clear" w:color="auto" w:fill="auto"/>
    </w:tcPr>
    <w:tblStylePr w:type="firstRow">
      <w:rPr>
        <w:color w:val="FFFFFF" w:themeColor="background1"/>
      </w:rPr>
      <w:tblPr/>
      <w:tcPr>
        <w:tcBorders>
          <w:top w:val="single" w:sz="18" w:space="0" w:color="E8EEFD"/>
          <w:left w:val="nil"/>
          <w:bottom w:val="nil"/>
          <w:right w:val="nil"/>
          <w:insideH w:val="nil"/>
          <w:insideV w:val="nil"/>
          <w:tl2br w:val="nil"/>
          <w:tr2bl w:val="nil"/>
        </w:tcBorders>
        <w:shd w:val="clear" w:color="auto" w:fill="0F4BEB" w:themeFill="accent1"/>
      </w:tcPr>
    </w:tblStylePr>
    <w:tblStylePr w:type="lastRow">
      <w:rPr>
        <w:b/>
      </w:rPr>
      <w:tblPr/>
      <w:tcPr>
        <w:shd w:val="clear" w:color="auto" w:fill="ECF1FE"/>
      </w:tcPr>
    </w:tblStylePr>
    <w:tblStylePr w:type="firstCol">
      <w:rPr>
        <w:color w:val="FFFFFF" w:themeColor="background1"/>
      </w:rPr>
      <w:tblPr/>
      <w:tcPr>
        <w:tcBorders>
          <w:top w:val="nil"/>
          <w:left w:val="nil"/>
          <w:bottom w:val="single" w:sz="18" w:space="0" w:color="CEDAFC" w:themeColor="accent1" w:themeTint="33"/>
          <w:right w:val="nil"/>
          <w:insideH w:val="single" w:sz="18" w:space="0" w:color="CEDAFC" w:themeColor="accent1" w:themeTint="33"/>
          <w:insideV w:val="nil"/>
        </w:tcBorders>
        <w:shd w:val="clear" w:color="auto" w:fill="0F4BEB" w:themeFill="accent1"/>
      </w:tcPr>
    </w:tblStylePr>
    <w:tblStylePr w:type="lastCol">
      <w:tblPr/>
      <w:tcPr>
        <w:shd w:val="clear" w:color="auto" w:fill="ECF1FE"/>
      </w:tcPr>
    </w:tblStylePr>
    <w:tblStylePr w:type="band2Vert">
      <w:tblPr/>
      <w:tcPr>
        <w:shd w:val="clear" w:color="auto" w:fill="ECF1FE"/>
      </w:tcPr>
    </w:tblStylePr>
    <w:tblStylePr w:type="band2Horz">
      <w:tblPr/>
      <w:tcPr>
        <w:shd w:val="clear" w:color="auto" w:fill="ECF1FE"/>
      </w:tcPr>
    </w:tblStylePr>
  </w:style>
  <w:style w:type="table" w:customStyle="1" w:styleId="ShadedBlueTable">
    <w:name w:val="Shaded Blue Table"/>
    <w:basedOn w:val="TableNormal"/>
    <w:uiPriority w:val="99"/>
    <w:rsid w:val="005D76A1"/>
    <w:pPr>
      <w:spacing w:before="0" w:after="0"/>
      <w:ind w:left="113" w:right="113"/>
    </w:pPr>
    <w:tblPr>
      <w:tblStyleRowBandSize w:val="1"/>
      <w:tblStyleColBandSize w:val="1"/>
      <w:tblBorders>
        <w:insideH w:val="single" w:sz="6" w:space="0" w:color="FFFFFF" w:themeColor="background1"/>
        <w:insideV w:val="single" w:sz="6" w:space="0" w:color="FFFFFF" w:themeColor="background1"/>
      </w:tblBorders>
      <w:tblCellMar>
        <w:left w:w="0" w:type="dxa"/>
        <w:right w:w="0" w:type="dxa"/>
      </w:tblCellMar>
    </w:tblPr>
    <w:trPr>
      <w:cantSplit/>
    </w:trPr>
    <w:tcPr>
      <w:shd w:val="clear" w:color="auto" w:fill="E8EEFD"/>
    </w:tcPr>
    <w:tblStylePr w:type="firstRow">
      <w:rPr>
        <w:color w:val="FFFFFF" w:themeColor="background1"/>
      </w:rPr>
      <w:tblPr/>
      <w:tcPr>
        <w:tcBorders>
          <w:top w:val="single" w:sz="36" w:space="0" w:color="auto"/>
        </w:tcBorders>
        <w:shd w:val="clear" w:color="auto" w:fill="0F4BEB" w:themeFill="accent1"/>
      </w:tcPr>
    </w:tblStylePr>
    <w:tblStylePr w:type="lastRow">
      <w:rPr>
        <w:b/>
      </w:rPr>
      <w:tblPr/>
      <w:tcPr>
        <w:shd w:val="clear" w:color="auto" w:fill="CEDAFC" w:themeFill="accent1" w:themeFillTint="33"/>
      </w:tcPr>
    </w:tblStylePr>
    <w:tblStylePr w:type="firstCol">
      <w:rPr>
        <w:color w:val="FFFFFF" w:themeColor="background1"/>
      </w:rPr>
      <w:tblPr/>
      <w:tcPr>
        <w:shd w:val="clear" w:color="auto" w:fill="0F4BEB" w:themeFill="accent1"/>
      </w:tcPr>
    </w:tblStylePr>
    <w:tblStylePr w:type="lastCol">
      <w:tblPr/>
      <w:tcPr>
        <w:shd w:val="clear" w:color="auto" w:fill="CEDAFC" w:themeFill="accent1" w:themeFillTint="33"/>
      </w:tcPr>
    </w:tblStylePr>
    <w:tblStylePr w:type="band2Vert">
      <w:tblPr/>
      <w:tcPr>
        <w:shd w:val="clear" w:color="auto" w:fill="CEDAFC" w:themeFill="accent1" w:themeFillTint="33"/>
      </w:tcPr>
    </w:tblStylePr>
    <w:tblStylePr w:type="band2Horz">
      <w:tblPr/>
      <w:tcPr>
        <w:shd w:val="clear" w:color="auto" w:fill="CEDAFC" w:themeFill="accent1" w:themeFillTint="33"/>
      </w:tcPr>
    </w:tblStylePr>
  </w:style>
  <w:style w:type="character" w:styleId="FollowedHyperlink">
    <w:name w:val="FollowedHyperlink"/>
    <w:basedOn w:val="DefaultParagraphFont"/>
    <w:uiPriority w:val="15"/>
    <w:rsid w:val="00BF1F87"/>
    <w:rPr>
      <w:color w:val="0F4BEB" w:themeColor="accent1"/>
      <w:u w:val="single"/>
    </w:rPr>
  </w:style>
  <w:style w:type="paragraph" w:customStyle="1" w:styleId="AppendixH1">
    <w:name w:val="Appendix H1"/>
    <w:basedOn w:val="Normal"/>
    <w:next w:val="BodyText"/>
    <w:uiPriority w:val="11"/>
    <w:semiHidden/>
    <w:qFormat/>
    <w:rsid w:val="00E33EF7"/>
    <w:pPr>
      <w:pageBreakBefore/>
      <w:tabs>
        <w:tab w:val="left" w:pos="567"/>
      </w:tabs>
      <w:spacing w:before="60" w:after="320"/>
      <w:outlineLvl w:val="0"/>
    </w:pPr>
    <w:rPr>
      <w:rFonts w:eastAsia="Times New Roman" w:cs="Times New Roman"/>
      <w:b/>
      <w:sz w:val="36"/>
      <w:szCs w:val="24"/>
      <w:lang w:eastAsia="en-AU"/>
    </w:rPr>
  </w:style>
  <w:style w:type="paragraph" w:customStyle="1" w:styleId="AppendixH2">
    <w:name w:val="Appendix H2"/>
    <w:basedOn w:val="Heading2"/>
    <w:next w:val="BodyText"/>
    <w:uiPriority w:val="11"/>
    <w:semiHidden/>
    <w:qFormat/>
    <w:rsid w:val="00E33EF7"/>
    <w:pPr>
      <w:tabs>
        <w:tab w:val="left" w:pos="851"/>
      </w:tabs>
    </w:pPr>
    <w:rPr>
      <w:iCs w:val="0"/>
    </w:rPr>
  </w:style>
  <w:style w:type="paragraph" w:customStyle="1" w:styleId="AppendixH3">
    <w:name w:val="Appendix H3"/>
    <w:basedOn w:val="Heading3"/>
    <w:next w:val="BodyText"/>
    <w:uiPriority w:val="11"/>
    <w:semiHidden/>
    <w:qFormat/>
    <w:rsid w:val="00E33EF7"/>
    <w:pPr>
      <w:tabs>
        <w:tab w:val="left" w:pos="851"/>
      </w:tabs>
    </w:p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
    <w:uiPriority w:val="19"/>
    <w:rsid w:val="004F2A3C"/>
    <w:pPr>
      <w:numPr>
        <w:ilvl w:val="1"/>
      </w:numPr>
    </w:pPr>
  </w:style>
  <w:style w:type="paragraph" w:customStyle="1" w:styleId="ListParagraph3">
    <w:name w:val="List Paragraph 3"/>
    <w:basedOn w:val="ListParagraph"/>
    <w:uiPriority w:val="19"/>
    <w:rsid w:val="004F2A3C"/>
    <w:pPr>
      <w:numPr>
        <w:ilvl w:val="2"/>
      </w:numPr>
    </w:pPr>
  </w:style>
  <w:style w:type="paragraph" w:customStyle="1" w:styleId="ListParagraph4">
    <w:name w:val="List Paragraph 4"/>
    <w:basedOn w:val="ListParagraph"/>
    <w:uiPriority w:val="19"/>
    <w:rsid w:val="004F2A3C"/>
    <w:pPr>
      <w:numPr>
        <w:ilvl w:val="3"/>
      </w:numPr>
    </w:pPr>
  </w:style>
  <w:style w:type="paragraph" w:customStyle="1" w:styleId="ListParagraph5">
    <w:name w:val="List Paragraph 5"/>
    <w:basedOn w:val="ListParagraph"/>
    <w:uiPriority w:val="19"/>
    <w:rsid w:val="004F2A3C"/>
    <w:pPr>
      <w:numPr>
        <w:ilvl w:val="4"/>
      </w:numPr>
    </w:pPr>
  </w:style>
  <w:style w:type="paragraph" w:customStyle="1" w:styleId="ListParagraph6">
    <w:name w:val="List Paragraph 6"/>
    <w:basedOn w:val="ListParagraph"/>
    <w:uiPriority w:val="19"/>
    <w:rsid w:val="004F2A3C"/>
    <w:pPr>
      <w:numPr>
        <w:ilvl w:val="5"/>
      </w:numPr>
    </w:pPr>
  </w:style>
  <w:style w:type="numbering" w:customStyle="1" w:styleId="ListBullet">
    <w:name w:val="List_Bullet"/>
    <w:uiPriority w:val="99"/>
    <w:rsid w:val="00D63B2E"/>
    <w:pPr>
      <w:numPr>
        <w:numId w:val="2"/>
      </w:numPr>
    </w:pPr>
  </w:style>
  <w:style w:type="numbering" w:customStyle="1" w:styleId="ListNumberedHeadings">
    <w:name w:val="List_NumberedHeadings"/>
    <w:uiPriority w:val="99"/>
    <w:rsid w:val="003A08A5"/>
    <w:pPr>
      <w:numPr>
        <w:numId w:val="4"/>
      </w:numPr>
    </w:pPr>
  </w:style>
  <w:style w:type="numbering" w:customStyle="1" w:styleId="ListTableBullet">
    <w:name w:val="List_TableBullet"/>
    <w:uiPriority w:val="99"/>
    <w:rsid w:val="00411DB3"/>
    <w:pPr>
      <w:numPr>
        <w:numId w:val="6"/>
      </w:numPr>
    </w:pPr>
  </w:style>
  <w:style w:type="numbering" w:customStyle="1" w:styleId="ListTableNumber">
    <w:name w:val="List_TableNumber"/>
    <w:uiPriority w:val="99"/>
    <w:rsid w:val="00411DB3"/>
    <w:pPr>
      <w:numPr>
        <w:numId w:val="7"/>
      </w:numPr>
    </w:pPr>
  </w:style>
  <w:style w:type="paragraph" w:customStyle="1" w:styleId="TableBullet2">
    <w:name w:val="Table Bullet 2"/>
    <w:basedOn w:val="TableBullet"/>
    <w:uiPriority w:val="19"/>
    <w:rsid w:val="00411DB3"/>
    <w:pPr>
      <w:numPr>
        <w:ilvl w:val="1"/>
      </w:numPr>
    </w:pPr>
  </w:style>
  <w:style w:type="paragraph" w:customStyle="1" w:styleId="TableNumber2">
    <w:name w:val="Table Number 2"/>
    <w:basedOn w:val="TableNumber"/>
    <w:uiPriority w:val="19"/>
    <w:rsid w:val="00411DB3"/>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LInedBlackTable">
    <w:name w:val="LIned Black Table"/>
    <w:basedOn w:val="LinedBlueTable"/>
    <w:uiPriority w:val="99"/>
    <w:rsid w:val="003E6AF6"/>
    <w:tblPr>
      <w:tblBorders>
        <w:top w:val="single" w:sz="24" w:space="0" w:color="DADADA" w:themeColor="background2" w:themeShade="E6"/>
        <w:bottom w:val="single" w:sz="24" w:space="0" w:color="DADADA" w:themeColor="background2" w:themeShade="E6"/>
        <w:insideH w:val="single" w:sz="24" w:space="0" w:color="DADADA" w:themeColor="background2" w:themeShade="E6"/>
      </w:tblBorders>
    </w:tblPr>
    <w:tcPr>
      <w:shd w:val="clear" w:color="auto" w:fill="auto"/>
    </w:tcPr>
    <w:tblStylePr w:type="firstRow">
      <w:rPr>
        <w:color w:val="FFFFFF" w:themeColor="background1"/>
      </w:rPr>
      <w:tblPr/>
      <w:tcPr>
        <w:tcBorders>
          <w:top w:val="single" w:sz="18" w:space="0" w:color="E8EEFD"/>
          <w:left w:val="nil"/>
          <w:bottom w:val="nil"/>
          <w:right w:val="nil"/>
          <w:insideH w:val="nil"/>
          <w:insideV w:val="nil"/>
          <w:tl2br w:val="nil"/>
          <w:tr2bl w:val="nil"/>
        </w:tcBorders>
        <w:shd w:val="clear" w:color="auto" w:fill="000000" w:themeFill="text1"/>
      </w:tcPr>
    </w:tblStylePr>
    <w:tblStylePr w:type="lastRow">
      <w:rPr>
        <w:b/>
      </w:rPr>
      <w:tblPr/>
      <w:tcPr>
        <w:shd w:val="clear" w:color="auto" w:fill="F2F2F2" w:themeFill="background2"/>
      </w:tcPr>
    </w:tblStylePr>
    <w:tblStylePr w:type="firstCol">
      <w:rPr>
        <w:color w:val="FFFFFF" w:themeColor="background1"/>
      </w:rPr>
      <w:tblPr/>
      <w:tcPr>
        <w:tcBorders>
          <w:top w:val="nil"/>
          <w:left w:val="nil"/>
          <w:bottom w:val="single" w:sz="18" w:space="0" w:color="CEDAFC" w:themeColor="accent1" w:themeTint="33"/>
          <w:right w:val="nil"/>
          <w:insideH w:val="single" w:sz="18" w:space="0" w:color="CEDAFC" w:themeColor="accent1" w:themeTint="33"/>
          <w:insideV w:val="nil"/>
        </w:tcBorders>
        <w:shd w:val="clear" w:color="auto" w:fill="000000" w:themeFill="text1"/>
      </w:tcPr>
    </w:tblStylePr>
    <w:tblStylePr w:type="lastCol">
      <w:tblPr/>
      <w:tcPr>
        <w:shd w:val="clear" w:color="auto" w:fill="F2F2F2" w:themeFill="background2"/>
      </w:tcPr>
    </w:tblStylePr>
    <w:tblStylePr w:type="band2Vert">
      <w:tblPr/>
      <w:tcPr>
        <w:shd w:val="clear" w:color="auto" w:fill="F2F2F2" w:themeFill="background2"/>
      </w:tcPr>
    </w:tblStylePr>
    <w:tblStylePr w:type="band2Horz">
      <w:tblPr/>
      <w:tcPr>
        <w:shd w:val="clear" w:color="auto" w:fill="F2F2F2" w:themeFill="background2"/>
      </w:tcPr>
    </w:tblStylePr>
  </w:style>
  <w:style w:type="paragraph" w:styleId="FootnoteText">
    <w:name w:val="footnote text"/>
    <w:aliases w:val="ftx,ACMA Footnote Text,ABA Footnote Text,footnote text,Footnote Text Char1,Footnote Text Char Char,Footnote Text Char1 Char Char,Footnote Text Char Char Char Char,Footnote Text Char1 Char Char Char Char,f"/>
    <w:basedOn w:val="Normal"/>
    <w:link w:val="FootnoteTextChar"/>
    <w:uiPriority w:val="99"/>
    <w:qFormat/>
    <w:rsid w:val="00862338"/>
    <w:pPr>
      <w:tabs>
        <w:tab w:val="left" w:pos="284"/>
      </w:tabs>
      <w:ind w:left="98" w:hanging="98"/>
    </w:pPr>
    <w:rPr>
      <w:rFonts w:ascii="Arial" w:hAnsi="Arial" w:cs="Arial"/>
      <w:sz w:val="15"/>
      <w:szCs w:val="24"/>
    </w:rPr>
  </w:style>
  <w:style w:type="numbering" w:customStyle="1" w:styleId="ListChapter">
    <w:name w:val="List_Chapter"/>
    <w:uiPriority w:val="99"/>
    <w:rsid w:val="00EB6DEC"/>
    <w:pPr>
      <w:numPr>
        <w:numId w:val="14"/>
      </w:numPr>
    </w:p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9D07AF"/>
    <w:pPr>
      <w:spacing w:before="0" w:after="0"/>
    </w:pPr>
    <w:tblPr/>
  </w:style>
  <w:style w:type="character" w:customStyle="1" w:styleId="FootnoteTextChar">
    <w:name w:val="Footnote Text Char"/>
    <w:aliases w:val="ftx Char,ACMA Footnote Text Char,ABA Footnote Text Char,footnote text Char,Footnote Text Char1 Char,Footnote Text Char Char Char,Footnote Text Char1 Char Char Char,Footnote Text Char Char Char Char Char,f Char"/>
    <w:basedOn w:val="DefaultParagraphFont"/>
    <w:link w:val="FootnoteText"/>
    <w:uiPriority w:val="99"/>
    <w:rsid w:val="00862338"/>
    <w:rPr>
      <w:rFonts w:ascii="Arial" w:hAnsi="Arial" w:cs="Arial"/>
      <w:sz w:val="15"/>
      <w:szCs w:val="24"/>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basedOn w:val="DefaultParagraphFont"/>
    <w:uiPriority w:val="99"/>
    <w:qFormat/>
    <w:rsid w:val="00024D7F"/>
    <w:rPr>
      <w:vertAlign w:val="superscript"/>
    </w:rPr>
  </w:style>
  <w:style w:type="paragraph" w:customStyle="1" w:styleId="UTSHeaderWhite">
    <w:name w:val="UTS Header White"/>
    <w:qFormat/>
    <w:rsid w:val="00D821D0"/>
    <w:pPr>
      <w:spacing w:before="0" w:after="0" w:line="180" w:lineRule="exact"/>
    </w:pPr>
    <w:rPr>
      <w:color w:val="FFFFFF" w:themeColor="background1"/>
      <w:sz w:val="14"/>
      <w:szCs w:val="14"/>
    </w:rPr>
  </w:style>
  <w:style w:type="paragraph" w:customStyle="1" w:styleId="UTSHeading2">
    <w:name w:val="UTS Heading 2"/>
    <w:rsid w:val="002E6FCD"/>
    <w:pPr>
      <w:spacing w:before="0" w:after="120"/>
    </w:pPr>
    <w:rPr>
      <w:rFonts w:ascii="Arial" w:eastAsia="Times New Roman" w:hAnsi="Arial" w:cs="Times New Roman"/>
      <w:b/>
      <w:caps/>
      <w:noProof/>
      <w:sz w:val="32"/>
      <w:szCs w:val="20"/>
    </w:rPr>
  </w:style>
  <w:style w:type="paragraph" w:customStyle="1" w:styleId="UTSHeading1">
    <w:name w:val="UTS Heading 1"/>
    <w:rsid w:val="002E6FCD"/>
    <w:pPr>
      <w:spacing w:before="0" w:after="120"/>
    </w:pPr>
    <w:rPr>
      <w:rFonts w:ascii="Arial" w:eastAsia="Times New Roman" w:hAnsi="Arial" w:cs="Times New Roman"/>
      <w:b/>
      <w:caps/>
      <w:noProof/>
      <w:sz w:val="48"/>
      <w:szCs w:val="20"/>
    </w:rPr>
  </w:style>
  <w:style w:type="character" w:styleId="UnresolvedMention">
    <w:name w:val="Unresolved Mention"/>
    <w:basedOn w:val="DefaultParagraphFont"/>
    <w:uiPriority w:val="99"/>
    <w:semiHidden/>
    <w:unhideWhenUsed/>
    <w:rsid w:val="00AA046D"/>
    <w:rPr>
      <w:color w:val="605E5C"/>
      <w:shd w:val="clear" w:color="auto" w:fill="E1DFDD"/>
    </w:rPr>
  </w:style>
  <w:style w:type="character" w:styleId="CommentReference">
    <w:name w:val="annotation reference"/>
    <w:basedOn w:val="DefaultParagraphFont"/>
    <w:uiPriority w:val="99"/>
    <w:semiHidden/>
    <w:rsid w:val="00AA046D"/>
    <w:rPr>
      <w:sz w:val="16"/>
      <w:szCs w:val="16"/>
    </w:rPr>
  </w:style>
  <w:style w:type="paragraph" w:styleId="CommentText">
    <w:name w:val="annotation text"/>
    <w:basedOn w:val="Normal"/>
    <w:link w:val="CommentTextChar"/>
    <w:uiPriority w:val="99"/>
    <w:semiHidden/>
    <w:rsid w:val="00AA046D"/>
    <w:rPr>
      <w:sz w:val="20"/>
      <w:szCs w:val="20"/>
    </w:rPr>
  </w:style>
  <w:style w:type="character" w:customStyle="1" w:styleId="CommentTextChar">
    <w:name w:val="Comment Text Char"/>
    <w:basedOn w:val="DefaultParagraphFont"/>
    <w:link w:val="CommentText"/>
    <w:uiPriority w:val="99"/>
    <w:semiHidden/>
    <w:rsid w:val="00AA046D"/>
    <w:rPr>
      <w:sz w:val="20"/>
      <w:szCs w:val="20"/>
    </w:rPr>
  </w:style>
  <w:style w:type="paragraph" w:styleId="CommentSubject">
    <w:name w:val="annotation subject"/>
    <w:basedOn w:val="CommentText"/>
    <w:next w:val="CommentText"/>
    <w:link w:val="CommentSubjectChar"/>
    <w:uiPriority w:val="99"/>
    <w:semiHidden/>
    <w:unhideWhenUsed/>
    <w:rsid w:val="00AA046D"/>
    <w:rPr>
      <w:b/>
      <w:bCs/>
    </w:rPr>
  </w:style>
  <w:style w:type="character" w:customStyle="1" w:styleId="CommentSubjectChar">
    <w:name w:val="Comment Subject Char"/>
    <w:basedOn w:val="CommentTextChar"/>
    <w:link w:val="CommentSubject"/>
    <w:uiPriority w:val="99"/>
    <w:semiHidden/>
    <w:rsid w:val="00AA046D"/>
    <w:rPr>
      <w:b/>
      <w:bCs/>
      <w:sz w:val="20"/>
      <w:szCs w:val="20"/>
    </w:rPr>
  </w:style>
  <w:style w:type="paragraph" w:styleId="Revision">
    <w:name w:val="Revision"/>
    <w:hidden/>
    <w:uiPriority w:val="99"/>
    <w:semiHidden/>
    <w:rsid w:val="00AA046D"/>
    <w:pPr>
      <w:spacing w:before="0" w:after="0"/>
    </w:pPr>
    <w:rPr>
      <w:sz w:val="18"/>
    </w:rPr>
  </w:style>
  <w:style w:type="character" w:customStyle="1" w:styleId="markedcontent">
    <w:name w:val="markedcontent"/>
    <w:basedOn w:val="DefaultParagraphFont"/>
    <w:rsid w:val="009C5A31"/>
  </w:style>
  <w:style w:type="character" w:customStyle="1" w:styleId="ListParagraphChar">
    <w:name w:val="List Paragraph Char"/>
    <w:aliases w:val="UTS Para Char,Recommendation Char,List Paragraph1 Char,List Paragraph11 Char,L Char,F5 List Paragraph Char,Dot pt Char,CV text Char,Table text Char,List Paragraph111 Char,Medium Grid 1 - Accent 21 Char,Numbered Paragraph Char"/>
    <w:basedOn w:val="DefaultParagraphFont"/>
    <w:link w:val="ListParagraph"/>
    <w:uiPriority w:val="34"/>
    <w:qFormat/>
    <w:locked/>
    <w:rsid w:val="009A4951"/>
    <w:rPr>
      <w:rFonts w:eastAsia="Times New Roman" w:cs="Times New Roman"/>
      <w:sz w:val="21"/>
      <w:szCs w:val="24"/>
      <w:lang w:eastAsia="en-AU"/>
    </w:rPr>
  </w:style>
  <w:style w:type="character" w:customStyle="1" w:styleId="cf01">
    <w:name w:val="cf01"/>
    <w:basedOn w:val="DefaultParagraphFont"/>
    <w:rsid w:val="00CE3E5C"/>
    <w:rPr>
      <w:rFonts w:ascii="Segoe UI" w:hAnsi="Segoe UI" w:cs="Segoe UI" w:hint="default"/>
      <w:sz w:val="18"/>
      <w:szCs w:val="18"/>
    </w:rPr>
  </w:style>
  <w:style w:type="character" w:customStyle="1" w:styleId="eop">
    <w:name w:val="eop"/>
    <w:basedOn w:val="DefaultParagraphFont"/>
    <w:rsid w:val="00663353"/>
  </w:style>
  <w:style w:type="paragraph" w:styleId="EndnoteText">
    <w:name w:val="endnote text"/>
    <w:basedOn w:val="Normal"/>
    <w:link w:val="EndnoteTextChar"/>
    <w:uiPriority w:val="99"/>
    <w:unhideWhenUsed/>
    <w:rsid w:val="00663353"/>
    <w:rPr>
      <w:sz w:val="20"/>
      <w:szCs w:val="20"/>
    </w:rPr>
  </w:style>
  <w:style w:type="character" w:customStyle="1" w:styleId="EndnoteTextChar">
    <w:name w:val="Endnote Text Char"/>
    <w:basedOn w:val="DefaultParagraphFont"/>
    <w:link w:val="EndnoteText"/>
    <w:uiPriority w:val="99"/>
    <w:rsid w:val="00663353"/>
    <w:rPr>
      <w:sz w:val="20"/>
      <w:szCs w:val="20"/>
    </w:rPr>
  </w:style>
  <w:style w:type="character" w:styleId="EndnoteReference">
    <w:name w:val="endnote reference"/>
    <w:basedOn w:val="DefaultParagraphFont"/>
    <w:uiPriority w:val="99"/>
    <w:semiHidden/>
    <w:unhideWhenUsed/>
    <w:rsid w:val="00663353"/>
    <w:rPr>
      <w:vertAlign w:val="superscript"/>
    </w:rPr>
  </w:style>
  <w:style w:type="paragraph" w:customStyle="1" w:styleId="Default">
    <w:name w:val="Default"/>
    <w:rsid w:val="00F56C9E"/>
    <w:pPr>
      <w:autoSpaceDE w:val="0"/>
      <w:autoSpaceDN w:val="0"/>
      <w:adjustRightInd w:val="0"/>
      <w:spacing w:before="0" w:after="0"/>
    </w:pPr>
    <w:rPr>
      <w:rFonts w:ascii="EUAlbertina" w:hAnsi="EUAlbertina" w:cs="EUAlbertina"/>
      <w:color w:val="000000"/>
      <w:sz w:val="24"/>
      <w:szCs w:val="24"/>
    </w:rPr>
  </w:style>
  <w:style w:type="character" w:customStyle="1" w:styleId="BodyItalic">
    <w:name w:val="Body Italic"/>
    <w:rsid w:val="00923561"/>
    <w:rPr>
      <w:rFonts w:ascii="Humanist777BT-ItalicB" w:hAnsi="Humanist777BT-ItalicB"/>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6989">
      <w:bodyDiv w:val="1"/>
      <w:marLeft w:val="0"/>
      <w:marRight w:val="0"/>
      <w:marTop w:val="0"/>
      <w:marBottom w:val="0"/>
      <w:divBdr>
        <w:top w:val="none" w:sz="0" w:space="0" w:color="auto"/>
        <w:left w:val="none" w:sz="0" w:space="0" w:color="auto"/>
        <w:bottom w:val="none" w:sz="0" w:space="0" w:color="auto"/>
        <w:right w:val="none" w:sz="0" w:space="0" w:color="auto"/>
      </w:divBdr>
    </w:div>
    <w:div w:id="85468588">
      <w:bodyDiv w:val="1"/>
      <w:marLeft w:val="0"/>
      <w:marRight w:val="0"/>
      <w:marTop w:val="0"/>
      <w:marBottom w:val="0"/>
      <w:divBdr>
        <w:top w:val="none" w:sz="0" w:space="0" w:color="auto"/>
        <w:left w:val="none" w:sz="0" w:space="0" w:color="auto"/>
        <w:bottom w:val="none" w:sz="0" w:space="0" w:color="auto"/>
        <w:right w:val="none" w:sz="0" w:space="0" w:color="auto"/>
      </w:divBdr>
    </w:div>
    <w:div w:id="118648639">
      <w:bodyDiv w:val="1"/>
      <w:marLeft w:val="0"/>
      <w:marRight w:val="0"/>
      <w:marTop w:val="0"/>
      <w:marBottom w:val="0"/>
      <w:divBdr>
        <w:top w:val="none" w:sz="0" w:space="0" w:color="auto"/>
        <w:left w:val="none" w:sz="0" w:space="0" w:color="auto"/>
        <w:bottom w:val="none" w:sz="0" w:space="0" w:color="auto"/>
        <w:right w:val="none" w:sz="0" w:space="0" w:color="auto"/>
      </w:divBdr>
    </w:div>
    <w:div w:id="174655249">
      <w:bodyDiv w:val="1"/>
      <w:marLeft w:val="0"/>
      <w:marRight w:val="0"/>
      <w:marTop w:val="0"/>
      <w:marBottom w:val="0"/>
      <w:divBdr>
        <w:top w:val="none" w:sz="0" w:space="0" w:color="auto"/>
        <w:left w:val="none" w:sz="0" w:space="0" w:color="auto"/>
        <w:bottom w:val="none" w:sz="0" w:space="0" w:color="auto"/>
        <w:right w:val="none" w:sz="0" w:space="0" w:color="auto"/>
      </w:divBdr>
    </w:div>
    <w:div w:id="220361210">
      <w:bodyDiv w:val="1"/>
      <w:marLeft w:val="0"/>
      <w:marRight w:val="0"/>
      <w:marTop w:val="0"/>
      <w:marBottom w:val="0"/>
      <w:divBdr>
        <w:top w:val="none" w:sz="0" w:space="0" w:color="auto"/>
        <w:left w:val="none" w:sz="0" w:space="0" w:color="auto"/>
        <w:bottom w:val="none" w:sz="0" w:space="0" w:color="auto"/>
        <w:right w:val="none" w:sz="0" w:space="0" w:color="auto"/>
      </w:divBdr>
    </w:div>
    <w:div w:id="293217276">
      <w:bodyDiv w:val="1"/>
      <w:marLeft w:val="0"/>
      <w:marRight w:val="0"/>
      <w:marTop w:val="0"/>
      <w:marBottom w:val="0"/>
      <w:divBdr>
        <w:top w:val="none" w:sz="0" w:space="0" w:color="auto"/>
        <w:left w:val="none" w:sz="0" w:space="0" w:color="auto"/>
        <w:bottom w:val="none" w:sz="0" w:space="0" w:color="auto"/>
        <w:right w:val="none" w:sz="0" w:space="0" w:color="auto"/>
      </w:divBdr>
    </w:div>
    <w:div w:id="365297773">
      <w:bodyDiv w:val="1"/>
      <w:marLeft w:val="0"/>
      <w:marRight w:val="0"/>
      <w:marTop w:val="0"/>
      <w:marBottom w:val="0"/>
      <w:divBdr>
        <w:top w:val="none" w:sz="0" w:space="0" w:color="auto"/>
        <w:left w:val="none" w:sz="0" w:space="0" w:color="auto"/>
        <w:bottom w:val="none" w:sz="0" w:space="0" w:color="auto"/>
        <w:right w:val="none" w:sz="0" w:space="0" w:color="auto"/>
      </w:divBdr>
    </w:div>
    <w:div w:id="381638308">
      <w:bodyDiv w:val="1"/>
      <w:marLeft w:val="0"/>
      <w:marRight w:val="0"/>
      <w:marTop w:val="0"/>
      <w:marBottom w:val="0"/>
      <w:divBdr>
        <w:top w:val="none" w:sz="0" w:space="0" w:color="auto"/>
        <w:left w:val="none" w:sz="0" w:space="0" w:color="auto"/>
        <w:bottom w:val="none" w:sz="0" w:space="0" w:color="auto"/>
        <w:right w:val="none" w:sz="0" w:space="0" w:color="auto"/>
      </w:divBdr>
    </w:div>
    <w:div w:id="501315540">
      <w:bodyDiv w:val="1"/>
      <w:marLeft w:val="0"/>
      <w:marRight w:val="0"/>
      <w:marTop w:val="0"/>
      <w:marBottom w:val="0"/>
      <w:divBdr>
        <w:top w:val="none" w:sz="0" w:space="0" w:color="auto"/>
        <w:left w:val="none" w:sz="0" w:space="0" w:color="auto"/>
        <w:bottom w:val="none" w:sz="0" w:space="0" w:color="auto"/>
        <w:right w:val="none" w:sz="0" w:space="0" w:color="auto"/>
      </w:divBdr>
    </w:div>
    <w:div w:id="694116176">
      <w:bodyDiv w:val="1"/>
      <w:marLeft w:val="0"/>
      <w:marRight w:val="0"/>
      <w:marTop w:val="0"/>
      <w:marBottom w:val="0"/>
      <w:divBdr>
        <w:top w:val="none" w:sz="0" w:space="0" w:color="auto"/>
        <w:left w:val="none" w:sz="0" w:space="0" w:color="auto"/>
        <w:bottom w:val="none" w:sz="0" w:space="0" w:color="auto"/>
        <w:right w:val="none" w:sz="0" w:space="0" w:color="auto"/>
      </w:divBdr>
    </w:div>
    <w:div w:id="753625078">
      <w:bodyDiv w:val="1"/>
      <w:marLeft w:val="0"/>
      <w:marRight w:val="0"/>
      <w:marTop w:val="0"/>
      <w:marBottom w:val="0"/>
      <w:divBdr>
        <w:top w:val="none" w:sz="0" w:space="0" w:color="auto"/>
        <w:left w:val="none" w:sz="0" w:space="0" w:color="auto"/>
        <w:bottom w:val="none" w:sz="0" w:space="0" w:color="auto"/>
        <w:right w:val="none" w:sz="0" w:space="0" w:color="auto"/>
      </w:divBdr>
    </w:div>
    <w:div w:id="803932879">
      <w:bodyDiv w:val="1"/>
      <w:marLeft w:val="0"/>
      <w:marRight w:val="0"/>
      <w:marTop w:val="0"/>
      <w:marBottom w:val="0"/>
      <w:divBdr>
        <w:top w:val="none" w:sz="0" w:space="0" w:color="auto"/>
        <w:left w:val="none" w:sz="0" w:space="0" w:color="auto"/>
        <w:bottom w:val="none" w:sz="0" w:space="0" w:color="auto"/>
        <w:right w:val="none" w:sz="0" w:space="0" w:color="auto"/>
      </w:divBdr>
    </w:div>
    <w:div w:id="994794997">
      <w:bodyDiv w:val="1"/>
      <w:marLeft w:val="0"/>
      <w:marRight w:val="0"/>
      <w:marTop w:val="0"/>
      <w:marBottom w:val="0"/>
      <w:divBdr>
        <w:top w:val="none" w:sz="0" w:space="0" w:color="auto"/>
        <w:left w:val="none" w:sz="0" w:space="0" w:color="auto"/>
        <w:bottom w:val="none" w:sz="0" w:space="0" w:color="auto"/>
        <w:right w:val="none" w:sz="0" w:space="0" w:color="auto"/>
      </w:divBdr>
    </w:div>
    <w:div w:id="1039359016">
      <w:bodyDiv w:val="1"/>
      <w:marLeft w:val="0"/>
      <w:marRight w:val="0"/>
      <w:marTop w:val="0"/>
      <w:marBottom w:val="0"/>
      <w:divBdr>
        <w:top w:val="none" w:sz="0" w:space="0" w:color="auto"/>
        <w:left w:val="none" w:sz="0" w:space="0" w:color="auto"/>
        <w:bottom w:val="none" w:sz="0" w:space="0" w:color="auto"/>
        <w:right w:val="none" w:sz="0" w:space="0" w:color="auto"/>
      </w:divBdr>
    </w:div>
    <w:div w:id="1124692153">
      <w:bodyDiv w:val="1"/>
      <w:marLeft w:val="0"/>
      <w:marRight w:val="0"/>
      <w:marTop w:val="0"/>
      <w:marBottom w:val="0"/>
      <w:divBdr>
        <w:top w:val="none" w:sz="0" w:space="0" w:color="auto"/>
        <w:left w:val="none" w:sz="0" w:space="0" w:color="auto"/>
        <w:bottom w:val="none" w:sz="0" w:space="0" w:color="auto"/>
        <w:right w:val="none" w:sz="0" w:space="0" w:color="auto"/>
      </w:divBdr>
    </w:div>
    <w:div w:id="1201430587">
      <w:bodyDiv w:val="1"/>
      <w:marLeft w:val="0"/>
      <w:marRight w:val="0"/>
      <w:marTop w:val="0"/>
      <w:marBottom w:val="0"/>
      <w:divBdr>
        <w:top w:val="none" w:sz="0" w:space="0" w:color="auto"/>
        <w:left w:val="none" w:sz="0" w:space="0" w:color="auto"/>
        <w:bottom w:val="none" w:sz="0" w:space="0" w:color="auto"/>
        <w:right w:val="none" w:sz="0" w:space="0" w:color="auto"/>
      </w:divBdr>
    </w:div>
    <w:div w:id="1518888707">
      <w:bodyDiv w:val="1"/>
      <w:marLeft w:val="0"/>
      <w:marRight w:val="0"/>
      <w:marTop w:val="0"/>
      <w:marBottom w:val="0"/>
      <w:divBdr>
        <w:top w:val="none" w:sz="0" w:space="0" w:color="auto"/>
        <w:left w:val="none" w:sz="0" w:space="0" w:color="auto"/>
        <w:bottom w:val="none" w:sz="0" w:space="0" w:color="auto"/>
        <w:right w:val="none" w:sz="0" w:space="0" w:color="auto"/>
      </w:divBdr>
    </w:div>
    <w:div w:id="1572303550">
      <w:bodyDiv w:val="1"/>
      <w:marLeft w:val="0"/>
      <w:marRight w:val="0"/>
      <w:marTop w:val="0"/>
      <w:marBottom w:val="0"/>
      <w:divBdr>
        <w:top w:val="none" w:sz="0" w:space="0" w:color="auto"/>
        <w:left w:val="none" w:sz="0" w:space="0" w:color="auto"/>
        <w:bottom w:val="none" w:sz="0" w:space="0" w:color="auto"/>
        <w:right w:val="none" w:sz="0" w:space="0" w:color="auto"/>
      </w:divBdr>
    </w:div>
    <w:div w:id="1654990807">
      <w:bodyDiv w:val="1"/>
      <w:marLeft w:val="0"/>
      <w:marRight w:val="0"/>
      <w:marTop w:val="0"/>
      <w:marBottom w:val="0"/>
      <w:divBdr>
        <w:top w:val="none" w:sz="0" w:space="0" w:color="auto"/>
        <w:left w:val="none" w:sz="0" w:space="0" w:color="auto"/>
        <w:bottom w:val="none" w:sz="0" w:space="0" w:color="auto"/>
        <w:right w:val="none" w:sz="0" w:space="0" w:color="auto"/>
      </w:divBdr>
    </w:div>
    <w:div w:id="1780564585">
      <w:bodyDiv w:val="1"/>
      <w:marLeft w:val="0"/>
      <w:marRight w:val="0"/>
      <w:marTop w:val="0"/>
      <w:marBottom w:val="0"/>
      <w:divBdr>
        <w:top w:val="none" w:sz="0" w:space="0" w:color="auto"/>
        <w:left w:val="none" w:sz="0" w:space="0" w:color="auto"/>
        <w:bottom w:val="none" w:sz="0" w:space="0" w:color="auto"/>
        <w:right w:val="none" w:sz="0" w:space="0" w:color="auto"/>
      </w:divBdr>
    </w:div>
    <w:div w:id="1842813778">
      <w:bodyDiv w:val="1"/>
      <w:marLeft w:val="0"/>
      <w:marRight w:val="0"/>
      <w:marTop w:val="0"/>
      <w:marBottom w:val="0"/>
      <w:divBdr>
        <w:top w:val="none" w:sz="0" w:space="0" w:color="auto"/>
        <w:left w:val="none" w:sz="0" w:space="0" w:color="auto"/>
        <w:bottom w:val="none" w:sz="0" w:space="0" w:color="auto"/>
        <w:right w:val="none" w:sz="0" w:space="0" w:color="auto"/>
      </w:divBdr>
    </w:div>
    <w:div w:id="1906910224">
      <w:bodyDiv w:val="1"/>
      <w:marLeft w:val="0"/>
      <w:marRight w:val="0"/>
      <w:marTop w:val="0"/>
      <w:marBottom w:val="0"/>
      <w:divBdr>
        <w:top w:val="none" w:sz="0" w:space="0" w:color="auto"/>
        <w:left w:val="none" w:sz="0" w:space="0" w:color="auto"/>
        <w:bottom w:val="none" w:sz="0" w:space="0" w:color="auto"/>
        <w:right w:val="none" w:sz="0" w:space="0" w:color="auto"/>
      </w:divBdr>
    </w:div>
    <w:div w:id="1987274158">
      <w:bodyDiv w:val="1"/>
      <w:marLeft w:val="0"/>
      <w:marRight w:val="0"/>
      <w:marTop w:val="0"/>
      <w:marBottom w:val="0"/>
      <w:divBdr>
        <w:top w:val="none" w:sz="0" w:space="0" w:color="auto"/>
        <w:left w:val="none" w:sz="0" w:space="0" w:color="auto"/>
        <w:bottom w:val="none" w:sz="0" w:space="0" w:color="auto"/>
        <w:right w:val="none" w:sz="0" w:space="0" w:color="auto"/>
      </w:divBdr>
    </w:div>
    <w:div w:id="20249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MT@uts.edu.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strategy.ec.europa.eu/en/library/communication-tackling-online-disinformation-european-approach"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PDF/?uri=CELEX:52020DC0790&amp;from=EN" TargetMode="External"/><Relationship Id="rId2" Type="http://schemas.openxmlformats.org/officeDocument/2006/relationships/hyperlink" Target="https://carnegieendowment.org/2020/03/03/eu-code-of-practice-on-disinformation-briefing-note-for-new-european-commission-pub-81187" TargetMode="External"/><Relationship Id="rId1" Type="http://schemas.openxmlformats.org/officeDocument/2006/relationships/hyperlink" Target="https://www.brookings.edu/research/disinformation-as-a-wicked-problem-why-we-need-co-regulatory-frameworks/" TargetMode="External"/><Relationship Id="rId6" Type="http://schemas.openxmlformats.org/officeDocument/2006/relationships/hyperlink" Target="https://monitor.civicus.org/updates/2022/06/14/freedom-expression-risk-cybercrime-legislation-used-prosecute-online-critics-vanuatu/" TargetMode="External"/><Relationship Id="rId5" Type="http://schemas.openxmlformats.org/officeDocument/2006/relationships/hyperlink" Target="https://www.latrobe.edu.au/__data/assets/pdf_file/0019/1203553/carson-fake-news.pdf" TargetMode="External"/><Relationship Id="rId4" Type="http://schemas.openxmlformats.org/officeDocument/2006/relationships/hyperlink" Target="https://knightcolumbia.org/cases/netchoice-llc-v-paxton?mc_cid=4b40d9f4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9223\AppData\Local\Temp\Temp1_UTS_Report%20(3).zip\5%20Report\UTS%202019%20Report%20Word%20template_FA.dotx" TargetMode="External"/></Relationships>
</file>

<file path=word/theme/theme1.xml><?xml version="1.0" encoding="utf-8"?>
<a:theme xmlns:a="http://schemas.openxmlformats.org/drawingml/2006/main" name="Office Theme">
  <a:themeElements>
    <a:clrScheme name="UTS">
      <a:dk1>
        <a:sysClr val="windowText" lastClr="000000"/>
      </a:dk1>
      <a:lt1>
        <a:sysClr val="window" lastClr="FFFFFF"/>
      </a:lt1>
      <a:dk2>
        <a:srgbClr val="B2B2B2"/>
      </a:dk2>
      <a:lt2>
        <a:srgbClr val="F2F2F2"/>
      </a:lt2>
      <a:accent1>
        <a:srgbClr val="0F4BEB"/>
      </a:accent1>
      <a:accent2>
        <a:srgbClr val="FF2305"/>
      </a:accent2>
      <a:accent3>
        <a:srgbClr val="49C0E2"/>
      </a:accent3>
      <a:accent4>
        <a:srgbClr val="068D38"/>
      </a:accent4>
      <a:accent5>
        <a:srgbClr val="AECA0C"/>
      </a:accent5>
      <a:accent6>
        <a:srgbClr val="6E237F"/>
      </a:accent6>
      <a:hlink>
        <a:srgbClr val="0F4BEB"/>
      </a:hlink>
      <a:folHlink>
        <a:srgbClr val="0F4BE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81EB1212B61541A03752A3AD6A007B" ma:contentTypeVersion="14" ma:contentTypeDescription="Create a new document." ma:contentTypeScope="" ma:versionID="0befe4475d6b92c608538d634d5df33f">
  <xsd:schema xmlns:xsd="http://www.w3.org/2001/XMLSchema" xmlns:xs="http://www.w3.org/2001/XMLSchema" xmlns:p="http://schemas.microsoft.com/office/2006/metadata/properties" xmlns:ns3="ad34b615-a1f3-473b-bd14-ee9eb9f93703" xmlns:ns4="c9ffdc71-41f6-47e3-86d1-9b214c81e4a1" targetNamespace="http://schemas.microsoft.com/office/2006/metadata/properties" ma:root="true" ma:fieldsID="b8acb8356a726f0ead3f0572cc013132" ns3:_="" ns4:_="">
    <xsd:import namespace="ad34b615-a1f3-473b-bd14-ee9eb9f93703"/>
    <xsd:import namespace="c9ffdc71-41f6-47e3-86d1-9b214c81e4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4b615-a1f3-473b-bd14-ee9eb9f93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fdc71-41f6-47e3-86d1-9b214c81e4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66B461-F943-44B5-B381-6C0C9D2D6BAA}">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ad34b615-a1f3-473b-bd14-ee9eb9f93703"/>
    <ds:schemaRef ds:uri="http://www.w3.org/XML/1998/namespace"/>
    <ds:schemaRef ds:uri="http://purl.org/dc/elements/1.1/"/>
    <ds:schemaRef ds:uri="http://purl.org/dc/terms/"/>
    <ds:schemaRef ds:uri="http://schemas.openxmlformats.org/package/2006/metadata/core-properties"/>
    <ds:schemaRef ds:uri="c9ffdc71-41f6-47e3-86d1-9b214c81e4a1"/>
  </ds:schemaRefs>
</ds:datastoreItem>
</file>

<file path=customXml/itemProps3.xml><?xml version="1.0" encoding="utf-8"?>
<ds:datastoreItem xmlns:ds="http://schemas.openxmlformats.org/officeDocument/2006/customXml" ds:itemID="{BD121012-F72C-48E0-812D-68D77848F215}">
  <ds:schemaRefs>
    <ds:schemaRef ds:uri="http://schemas.microsoft.com/sharepoint/v3/contenttype/forms"/>
  </ds:schemaRefs>
</ds:datastoreItem>
</file>

<file path=customXml/itemProps4.xml><?xml version="1.0" encoding="utf-8"?>
<ds:datastoreItem xmlns:ds="http://schemas.openxmlformats.org/officeDocument/2006/customXml" ds:itemID="{837C103B-A8F3-4630-AACC-DA5DAB36F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4b615-a1f3-473b-bd14-ee9eb9f93703"/>
    <ds:schemaRef ds:uri="c9ffdc71-41f6-47e3-86d1-9b214c81e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7A7B78-2B4F-4DE3-ABD6-009AD4E5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UTS 2019 Report Word template_FA.dotx</Template>
  <TotalTime>1</TotalTime>
  <Pages>9</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Alice</dc:creator>
  <cp:lastModifiedBy>Rosa Alice</cp:lastModifiedBy>
  <cp:revision>2</cp:revision>
  <cp:lastPrinted>2019-04-26T06:41:00Z</cp:lastPrinted>
  <dcterms:created xsi:type="dcterms:W3CDTF">2023-04-27T03:36:00Z</dcterms:created>
  <dcterms:modified xsi:type="dcterms:W3CDTF">2023-04-27T03:36:00Z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54fd80-e2ff-40dc-a7ce-a8751429c4f7_Enabled">
    <vt:lpwstr>true</vt:lpwstr>
  </property>
  <property fmtid="{D5CDD505-2E9C-101B-9397-08002B2CF9AE}" pid="3" name="MSIP_Label_7454fd80-e2ff-40dc-a7ce-a8751429c4f7_SetDate">
    <vt:lpwstr>2022-02-04T02:15:25Z</vt:lpwstr>
  </property>
  <property fmtid="{D5CDD505-2E9C-101B-9397-08002B2CF9AE}" pid="4" name="MSIP_Label_7454fd80-e2ff-40dc-a7ce-a8751429c4f7_Method">
    <vt:lpwstr>Privileged</vt:lpwstr>
  </property>
  <property fmtid="{D5CDD505-2E9C-101B-9397-08002B2CF9AE}" pid="5" name="MSIP_Label_7454fd80-e2ff-40dc-a7ce-a8751429c4f7_Name">
    <vt:lpwstr>UTS-Confidential</vt:lpwstr>
  </property>
  <property fmtid="{D5CDD505-2E9C-101B-9397-08002B2CF9AE}" pid="6" name="MSIP_Label_7454fd80-e2ff-40dc-a7ce-a8751429c4f7_SiteId">
    <vt:lpwstr>e8911c26-cf9f-4a9c-878e-527807be8791</vt:lpwstr>
  </property>
  <property fmtid="{D5CDD505-2E9C-101B-9397-08002B2CF9AE}" pid="7" name="MSIP_Label_7454fd80-e2ff-40dc-a7ce-a8751429c4f7_ActionId">
    <vt:lpwstr>d466026c-c295-47af-87fc-4b7e24a881f3</vt:lpwstr>
  </property>
  <property fmtid="{D5CDD505-2E9C-101B-9397-08002B2CF9AE}" pid="8" name="MSIP_Label_7454fd80-e2ff-40dc-a7ce-a8751429c4f7_ContentBits">
    <vt:lpwstr>0</vt:lpwstr>
  </property>
  <property fmtid="{D5CDD505-2E9C-101B-9397-08002B2CF9AE}" pid="9" name="ContentTypeId">
    <vt:lpwstr>0x010100C181EB1212B61541A03752A3AD6A007B</vt:lpwstr>
  </property>
  <property fmtid="{D5CDD505-2E9C-101B-9397-08002B2CF9AE}" pid="10" name="ZOTERO_PREF_1">
    <vt:lpwstr>&lt;data data-version="3" zotero-version="6.0.20"&gt;&lt;session id="LGyrhptl"/&gt;&lt;style id="http://www.zotero.org/styles/oxford-the-university-of-new-south-wales" hasBibliography="1" bibliographyStyleHasBeenSet="0"/&gt;&lt;prefs&gt;&lt;pref name="noteType" value="1"/&gt;&lt;pref nam</vt:lpwstr>
  </property>
  <property fmtid="{D5CDD505-2E9C-101B-9397-08002B2CF9AE}" pid="11" name="ZOTERO_PREF_2">
    <vt:lpwstr>e="fieldType" value="Field"/&gt;&lt;/prefs&gt;&lt;/data&gt;</vt:lpwstr>
  </property>
</Properties>
</file>